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11877"/>
      </w:tblGrid>
      <w:tr>
        <w:tc>
          <w:tcPr>
            <w:tcW w:w="11877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  <w:sz w:val="8"/>
              </w:rPr>
            </w:pPr>
          </w:p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  <w:r>
              <w:rPr>
                <w:rFonts w:ascii="Century Gothic" w:hAnsi="Century Gothic" w:eastAsia="Century Gothic"/>
                <w:b w:val="on"/>
                <w:color w:val="000080"/>
                <w:sz w:val="36"/>
              </w:rPr>
              <w:t xml:space="preserve">Maison Ancienne</w:t>
            </w:r>
            <w:r>
              <w:rPr>
                <w:rFonts w:ascii="Century Gothic" w:hAnsi="Century Gothic" w:eastAsia="Century Gothic"/>
                <w:sz w:val="36"/>
              </w:rPr>
              <w:t xml:space="preserve"> - </w:t>
            </w:r>
            <w:r>
              <w:rPr>
                <w:rFonts w:ascii="Century Gothic" w:hAnsi="Century Gothic" w:eastAsia="Century Gothic"/>
                <w:b w:val="on"/>
                <w:color w:val="000080"/>
                <w:sz w:val="36"/>
              </w:rPr>
              <w:t xml:space="preserve">Région MONTIGNAC</w:t>
            </w:r>
          </w:p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11786"/>
            </w:tblGrid>
            <w:tr>
              <w:tc>
                <w:tcPr>
                  <w:tcW w:w="11786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drawing>
                      <wp:inline distT="0" distB="0" distL="0" distR="0">
                        <wp:extent cx="5486400" cy="4114800"/>
                        <wp:docPr id="2" name="_tx_id_2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"/>
                                <pic:cNvPicPr/>
                              </pic:nvPicPr>
                              <pic:blipFill>
                                <a:blip r:embed="rId000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86400" cy="4114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11786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color w:val="000080"/>
                      <w:sz w:val="1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20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color w:val="000080"/>
                    </w:rPr>
                    <w:t xml:space="preserve">REF : MP113418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12"/>
                    </w:rPr>
                  </w:pP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En Périgord Noir, à environ 10 minutes de Montignac, au calme et sans voisin proche, cette maison en pierre est implantée dans un environnement boisé, entourée par 4 hectares de terrain. Construite à flanc de coteau, elle offre sur 3 niveaux environ 180 m²  avec au niveau principal un grand séjour avec cheminée, une chambre, à l'étage, on trouve deux grandes chambres mansardées et au rez-de-jardin, la cuisine, la salle de bains, et deux pièces aménageables. L'aménagement peut être revu en fonction de l'usage que lui donneront les prochains propriétaires. Chauffage central au fioul. Garage semi-enterré. Présence d'une source dans le vallon. 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b w:val="on"/>
                      <w:sz w:val="28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Les informations sur les risques auxquels ce bien est exposé sont disponibles sur le site Géorisques: www.georisques.gouv.fr</w:t>
                  </w:r>
                </w:p>
                <w:p>
                  <w:pPr>
                    <w:pStyle w:val="[Normal]"/>
                    <w:ind w:left="69" w:right="113"/>
                    <w:jc w:val="both"/>
                    <w:rPr>
                      <w:rFonts w:ascii="Century Gothic" w:hAnsi="Century Gothic" w:eastAsia="Century Gothic"/>
                      <w:b w:val="on"/>
                      <w:sz w:val="16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color w:val="000080"/>
                      <w:sz w:val="32"/>
                    </w:rPr>
                    <w:t xml:space="preserve">Prix : 299 980 € *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* Honoraires à charge de l'acquéreur : 6,00% soit 283 000 €</w:t>
                  </w: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net vendeur.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5893"/>
              <w:gridCol w:w="5893"/>
            </w:tblGrid>
            <w:tr>
              <w:tc>
                <w:tcPr>
                  <w:tcW w:w="5893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BODY"/>
                    <w:tabs>
                      <w:tab w:val="left" w:pos="1134"/>
                      <w:tab w:val="left" w:pos="2268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  <w:tab w:val="left" w:pos="9072"/>
                      <w:tab w:val="left" w:pos="10206"/>
                      <w:tab w:val="left" w:pos="11340"/>
                      <w:tab w:val="left" w:pos="12474"/>
                      <w:tab w:val="left" w:pos="13608"/>
                      <w:tab w:val="left" w:pos="14742"/>
                      <w:tab w:val="left" w:pos="15876"/>
                    </w:tabs>
                    <w:spacing w:line="240" w:lineRule="auto"/>
                    <w:ind w:left="324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Surface Habitable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180 m² </w:t>
                    <w:br w:type="textWrapping"/>
                  </w: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Surface Terrain : 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42 205 m²</w:t>
                    <w:br w:type="textWrapping"/>
                  </w: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N° de chambres : 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3 </w:t>
                    <w:br w:type="textWrapping"/>
                  </w: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Etat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 A rafraîchir </w:t>
                  </w:r>
                </w:p>
              </w:tc>
              <w:tc>
                <w:tcPr>
                  <w:tcW w:w="5893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Année de construction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Chauffage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Fuel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Taxe Foncière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883 € </w:t>
                  </w:r>
                </w:p>
              </w:tc>
            </w:tr>
          </w:tbl>
          <w:p>
            <w:pPr>
              <w:pStyle w:val="[Normal]"/>
              <w:ind w:left="324"/>
              <w:rPr>
                <w:rFonts w:ascii="Century Gothic" w:hAnsi="Century Gothic" w:eastAsia="Century Gothic"/>
                <w:sz w:val="12"/>
              </w:rPr>
            </w:pPr>
          </w:p>
          <w:tbl>
            <w:tblPr>
              <w:tblW w:w="0" w:type="auto"/>
              <w:jc w:val="left"/>
              <w:tblInd w:w="356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5537"/>
              <w:gridCol w:w="5893"/>
            </w:tblGrid>
            <w:tr>
              <w:tc>
                <w:tcPr>
                  <w:tcW w:w="5537" w:type="dxa"/>
                  <w:shd w:val="clear" w:fill="auto"/>
                  <w:vAlign w:val="top"/>
                </w:tcPr>
                <w:p>
                  <w:pPr>
                    <w:pStyle w:val="Type de détail"/>
                  </w:pPr>
                  <w:r>
                    <w:t xml:space="preserve">Rez de Jardin:</w:t>
                  </w:r>
                </w:p>
                <w:p>
                  <w:pPr>
                    <w:pStyle w:val="Détail"/>
                  </w:pPr>
                  <w:r>
                    <w:t xml:space="preserve">Chaufferie / pièce de 29 m².</w:t>
                  </w:r>
                </w:p>
                <w:p>
                  <w:pPr>
                    <w:pStyle w:val="Détail"/>
                  </w:pPr>
                  <w:r>
                    <w:t xml:space="preserve">Cuisine 19 m²</w:t>
                  </w:r>
                </w:p>
                <w:p>
                  <w:pPr>
                    <w:pStyle w:val="Détail"/>
                  </w:pPr>
                  <w:r>
                    <w:t xml:space="preserve">Pièce de 13 m².</w:t>
                  </w:r>
                </w:p>
                <w:p>
                  <w:pPr>
                    <w:pStyle w:val="Détail"/>
                  </w:pPr>
                  <w:r>
                    <w:t xml:space="preserve">Salle de bains de 5,5 m².</w:t>
                  </w:r>
                </w:p>
                <w:p>
                  <w:pPr>
                    <w:pStyle w:val="Détail"/>
                  </w:pPr>
                  <w:r>
                    <w:t xml:space="preserve">2 WC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</w:pPr>
                  <w:r>
                    <w:t xml:space="preserve">Chambre d'environ 19 m².</w:t>
                  </w:r>
                </w:p>
                <w:p>
                  <w:pPr>
                    <w:pStyle w:val="Détail"/>
                  </w:pPr>
                  <w:r>
                    <w:t xml:space="preserve">Séjour d'environ 50 m² avec cheminée et sol en parquet.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</w:pPr>
                  <w:r>
                    <w:t xml:space="preserve">2 Chambres mansardées, de 18 m² et 30 m².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</w:pPr>
                  <w:r>
                    <w:t xml:space="preserve">Garage semi-enterré.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</w:pPr>
                  <w:r>
                    <w:t xml:space="preserve">Consommation énergétique en énergie primaire 433,00 KWHep/m²an </w:t>
                  </w:r>
                </w:p>
                <w:p>
                  <w:pPr>
                    <w:pStyle w:val="[Normal]"/>
                    <w:ind w:left="324"/>
                    <w:rPr>
                      <w:rFonts w:ascii="Century Gothic" w:hAnsi="Century Gothic" w:eastAsia="Century Gothic"/>
                      <w:sz w:val="18"/>
                    </w:rPr>
                  </w:pPr>
                </w:p>
              </w:tc>
              <w:tc>
                <w:tcPr>
                  <w:tcW w:w="5893" w:type="dxa"/>
                  <w:shd w:val="clear" w:fill="auto"/>
                  <w:vAlign w:val="top"/>
                </w:tcPr>
                <w:p>
                  <w:pPr>
                    <w:pStyle w:val="Type de détail"/>
                  </w:pPr>
                  <w:r>
                    <w:t xml:space="preserve">DPE (suite):</w:t>
                  </w:r>
                </w:p>
                <w:p>
                  <w:pPr>
                    <w:pStyle w:val="Détail"/>
                  </w:pPr>
                  <w:r>
                    <w:t xml:space="preserve">Emission de gaz à effet de serre 137,00 Kgco2/m²an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</w:pPr>
                  <w:r>
                    <w:t xml:space="preserve">CC Fuel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</w:pPr>
                  <w:r>
                    <w:t xml:space="preserve">Fosse septique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</w:pPr>
                  <w:r>
                    <w:t xml:space="preserve">Aéroport 1h20 environ.</w:t>
                  </w:r>
                </w:p>
                <w:p>
                  <w:pPr>
                    <w:pStyle w:val="Détail"/>
                  </w:pPr>
                  <w:r>
                    <w:t xml:space="preserve">Autoroute 20 mn.</w:t>
                  </w:r>
                </w:p>
                <w:p>
                  <w:pPr>
                    <w:pStyle w:val="Détail"/>
                  </w:pPr>
                  <w:r>
                    <w:t xml:space="preserve">Calme</w:t>
                  </w:r>
                </w:p>
                <w:p>
                  <w:pPr>
                    <w:pStyle w:val="Détail"/>
                  </w:pPr>
                  <w:r>
                    <w:t xml:space="preserve">Commerces 10 mn.</w:t>
                  </w:r>
                </w:p>
                <w:p>
                  <w:pPr>
                    <w:pStyle w:val="Détail"/>
                  </w:pPr>
                  <w:r>
                    <w:t xml:space="preserve">Dépendance</w:t>
                  </w:r>
                </w:p>
                <w:p>
                  <w:pPr>
                    <w:pStyle w:val="Détail"/>
                  </w:pPr>
                  <w:r>
                    <w:t xml:space="preserve">Ecole 10 mn.</w:t>
                  </w:r>
                </w:p>
                <w:p>
                  <w:pPr>
                    <w:pStyle w:val="Détail"/>
                  </w:pPr>
                  <w:r>
                    <w:t xml:space="preserve">Gare 25 mn.</w:t>
                  </w:r>
                </w:p>
                <w:p>
                  <w:pPr>
                    <w:pStyle w:val="Détail"/>
                  </w:pPr>
                  <w:r>
                    <w:t xml:space="preserve">Hôpital 30 mn.</w:t>
                  </w:r>
                </w:p>
                <w:p>
                  <w:pPr>
                    <w:pStyle w:val="Détail"/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</w:pPr>
                  <w:r>
                    <w:t xml:space="preserve">Puits, source ou citerne : source dans le vallon.</w:t>
                  </w:r>
                </w:p>
                <w:p>
                  <w:pPr>
                    <w:pStyle w:val="Détail"/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</w:pPr>
                  <w:r>
                    <w:t xml:space="preserve">Boisé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4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single" w:sz="6" w:space="0" w:color="C0C0C0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11786"/>
            </w:tblGrid>
            <w:tr>
              <w:tc>
                <w:tcPr>
                  <w:tcW w:w="11786" w:type="dxa"/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4"/>
                    </w:rPr>
                    <w:t xml:space="preserve">          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color w:val="000000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sz w:val="4"/>
                    </w:rPr>
                    <w:t xml:space="preserve">                         </w:t>
                  </w:r>
                  <w:r>
                    <w:drawing>
                      <wp:inline distT="0" distB="0" distL="0" distR="0">
                        <wp:extent cx="1373505" cy="125349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3505" cy="1253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color w:val="000000"/>
                      <w:sz w:val="18"/>
                    </w:rPr>
                    <w:t xml:space="preserve">                         </w:t>
                  </w:r>
                  <w:r>
                    <w:drawing>
                      <wp:inline distT="0" distB="0" distL="0" distR="0">
                        <wp:extent cx="1373505" cy="125984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3505" cy="1259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color w:val="000000"/>
                      <w:sz w:val="18"/>
                    </w:rPr>
                    <w:t xml:space="preserve">                                        </w:t>
                  </w:r>
                  <w:r>
                    <w:drawing>
                      <wp:inline distT="0" distB="0" distL="0" distR="0">
                        <wp:extent cx="1114425" cy="1114425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4425" cy="1114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2"/>
              </w:rPr>
            </w:pPr>
          </w:p>
        </w:tc>
      </w:tr>
      <w:tr>
        <w:tc>
          <w:tcPr>
            <w:tcW w:w="11877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  <w:sz w:val="8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color w:val="FFFFFF"/>
          <w:sz w:val="2"/>
        </w:rPr>
      </w:pPr>
      <w:r>
        <w:rPr>
          <w:rFonts w:ascii="Century Gothic" w:hAnsi="Century Gothic" w:eastAsia="Century Gothic"/>
          <w:color w:val="FFFFFF"/>
          <w:sz w:val="2"/>
        </w:rPr>
        <w:t xml:space="preserve"> - Tel: </w:t>
      </w:r>
      <w:r>
        <w:rPr>
          <w:rFonts w:ascii="Century Gothic" w:hAnsi="Century Gothic" w:eastAsia="Century Gothic"/>
          <w:color w:val="FFFFFF"/>
          <w:sz w:val="2"/>
        </w:rPr>
        <w:t xml:space="preserve">«tel_agence</w:t>
      </w:r>
      <w:r>
        <w:rPr>
          <w:rFonts w:ascii="Century Gothic" w:hAnsi="Century Gothic" w:eastAsia="Century Gothic"/>
          <w:color w:val="FFFFFF"/>
          <w:sz w:val="2"/>
        </w:rPr>
        <w:t xml:space="preserve">-</w:t>
      </w:r>
    </w:p>
    <w:sectPr>
      <w:headerReference w:type="default" r:id="rId00010"/>
      <w:footerReference w:type="default" r:id="rId00011"/>
      <w:type w:val="continuous"/>
      <w:pgSz w:w="11906" w:h="16838"/>
      <w:pgMar w:top="0" w:right="0" w:bottom="0" w:left="0" w:header="0" w:footer="0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1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10455"/>
      <w:gridCol w:w="1425"/>
    </w:tblGrid>
    <w:tr>
      <w:tc>
        <w:tcPr>
          <w:tcW w:w="11880" w:type="dxa"/>
          <w:gridSpan w:val="2"/>
          <w:shd w:val="clear" w:fill="000080"/>
          <w:vAlign w:val="top"/>
        </w:tcPr>
        <w:p>
          <w:pPr>
            <w:pStyle w:val="[Normal]"/>
            <w:jc w:val="center"/>
            <w:rPr>
              <w:rFonts w:ascii="Century Gothic" w:hAnsi="Century Gothic" w:eastAsia="Century Gothic"/>
              <w:color w:val="FFFFFF"/>
              <w:sz w:val="20"/>
            </w:rPr>
          </w:pPr>
          <w:r>
            <w:rPr>
              <w:rFonts w:ascii="Century Gothic" w:hAnsi="Century Gothic" w:eastAsia="Century Gothic"/>
              <w:b w:val="on"/>
              <w:color w:val="FFFFFF"/>
              <w:sz w:val="20"/>
            </w:rPr>
            <w:t xml:space="preserve">QUERCY TRANSACTIONS </w:t>
          </w:r>
          <w:r>
            <w:rPr>
              <w:rFonts w:ascii="Century Gothic" w:hAnsi="Century Gothic" w:eastAsia="Century Gothic"/>
              <w:color w:val="FFFFFF"/>
              <w:sz w:val="20"/>
            </w:rPr>
            <w:t xml:space="preserve">- 3, Place Jean-Jacques Chapou - 46000 CAHORS - Tel: 05 65 53 24 76 </w:t>
          </w:r>
        </w:p>
        <w:p>
          <w:pPr>
            <w:pStyle w:val="[Normal]"/>
            <w:jc w:val="center"/>
            <w:rPr>
              <w:rFonts w:ascii="Century Gothic" w:hAnsi="Century Gothic" w:eastAsia="Century Gothic"/>
              <w:color w:val="FFFFFF"/>
              <w:sz w:val="22"/>
            </w:rPr>
          </w:pPr>
          <w:r>
            <w:rPr>
              <w:rFonts w:ascii="Century Gothic" w:hAnsi="Century Gothic" w:eastAsia="Century Gothic"/>
              <w:color w:val="FFFFFF"/>
              <w:sz w:val="20"/>
            </w:rPr>
            <w:t xml:space="preserve">Email : contact@quercy-transactions.com - Site web : </w:t>
          </w:r>
          <w:r>
            <w:rPr>
              <w:rFonts w:ascii="Century Gothic" w:hAnsi="Century Gothic" w:eastAsia="Century Gothic"/>
              <w:color w:val="FFFFFF"/>
              <w:sz w:val="20"/>
            </w:rPr>
            <w:t xml:space="preserve">www.quercy-transactions.com - Renseignements non contractuels</w:t>
          </w:r>
        </w:p>
      </w:tc>
    </w:tr>
  </w:tbl>
  <w:p>
    <w:pPr>
      <w:pStyle w:val="[Normal]"/>
      <w:rPr>
        <w:rFonts w:ascii="Century Gothic" w:hAnsi="Century Gothic" w:eastAsia="Century Gothic"/>
        <w:color w:val="FFFFFF"/>
        <w:sz w:val="22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</w:pPr>
    <w:r>
      <w:drawing>
        <wp:anchor distT="12700" distB="12700" distL="12700" distR="12700" simplePos="0" relativeHeight="1000000" behindDoc="0" locked="0" layoutInCell="1" allowOverlap="1" hidden="false">
          <wp:simplePos x="0" y="0"/>
          <wp:positionH relativeFrom="column">
            <wp:posOffset>19050</wp:posOffset>
          </wp:positionH>
          <wp:positionV relativeFrom="paragraph">
            <wp:posOffset>12700</wp:posOffset>
          </wp:positionV>
          <wp:extent cx="7492365" cy="668655"/>
          <wp:wrapSquare wrapText="bothSides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7492365" cy="668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[Normal]"/>
      <w:jc w:val="center"/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Détail">
    <w:name w:val="Détail"/>
    <w:basedOn w:val="Normal"/>
    <w:next w:val="Détail"/>
    <w:qFormat/>
    <w:pPr/>
    <w:rPr>
      <w:rFonts w:ascii="Century Gothic" w:hAnsi="Century Gothic" w:eastAsia="Century Gothic"/>
      <w:color w:val="000000"/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1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0" Type="http://schemas.openxmlformats.org/officeDocument/2006/relationships/header" Target="header0001.xml"/>
	<Relationship Id="rId00011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png"/>
	<Relationship Id="rId00012" Type="http://schemas.openxmlformats.org/officeDocument/2006/relationships/numbering" Target="numbering.xml"/>
	<Relationship Id="rId00013" Type="http://schemas.openxmlformats.org/officeDocument/2006/relationships/fontTable" Target="fontTable.xml"/>
	<Relationship Id="rId00014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