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82931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85950" cy="82931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88392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85950" cy="88392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31"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08"/>
              <w:gridCol w:w="4595"/>
            </w:tblGrid>
            <w:tr>
              <w:tc>
                <w:tcPr>
                  <w:tcW w:w="7108" w:type="dxa"/>
                  <w:shd w:val="clear" w:fill="auto"/>
                  <w:tcMar>
                    <w:left w:w="36" w:type="dxa"/>
                  </w:tcMar>
                  <w:vAlign w:val="top"/>
                </w:tcPr>
                <w:p>
                  <w:pPr>
                    <w:pStyle w:val="[Normal]"/>
                    <w:jc w:val="center"/>
                    <w:rPr>
                      <w:rFonts w:ascii="Century Gothic" w:hAnsi="Century Gothic" w:eastAsia="Century Gothic"/>
                      <w:b w:val="on"/>
                      <w:color w:val="000080"/>
                      <w:sz w:val="36"/>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Ancienne</w:t>
                  </w: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Région MONTCUQ</w:t>
                  </w:r>
                </w:p>
                <w:p>
                  <w:pPr>
                    <w:pStyle w:val="[Normal]"/>
                    <w:jc w:val="center"/>
                    <w:rPr>
                      <w:rFonts w:ascii="Century Gothic" w:hAnsi="Century Gothic" w:eastAsia="Century Gothic"/>
                      <w:b w:val="on"/>
                      <w:sz w:val="20"/>
                    </w:rPr>
                  </w:pPr>
                </w:p>
                <w:p>
                  <w:pPr>
                    <w:pStyle w:val="[Normal]"/>
                    <w:jc w:val="both"/>
                    <w:rPr>
                      <w:rFonts w:ascii="Century Gothic" w:hAnsi="Century Gothic" w:eastAsia="Century Gothic"/>
                      <w:sz w:val="20"/>
                    </w:rPr>
                  </w:pPr>
                  <w:r>
                    <w:rPr>
                      <w:rFonts w:ascii="Century Gothic" w:hAnsi="Century Gothic" w:eastAsia="Century Gothic"/>
                      <w:sz w:val="20"/>
                    </w:rPr>
                    <w:t xml:space="preserve">Maison ancienne en pierre de 8 pièces, superbement rénovée, en centre d'un bourg offrant toutes les commodités. Esthétique et confortable, cette vaste demeure peut être scindée en deux appartements qui auraient chacun leur espace extérieur et des entrées indépendantes de plain-pied.Parfaitement au calme, belle rénovation récente, chauffage performant , DPE en C .A moins de 30 mn de Cahors, dans un magnifique village offrant toutes les commodités y compris un collège.Sur le chemin de compostelle.Les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266 000 €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6,40% TTC</w:t>
                    <w:br w:type="textWrapping"/>
                  </w:r>
                  <w:r>
                    <w:rPr>
                      <w:rFonts w:ascii="Century Gothic" w:hAnsi="Century Gothic" w:eastAsia="Century Gothic"/>
                      <w:sz w:val="20"/>
                    </w:rPr>
                    <w:t xml:space="preserve">Prix honoraires exclu :  250 000 €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CA6867</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5</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202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40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86840" cy="121983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86840" cy="1219835"/>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14/05/2023,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Année de référence utilisée pour établir la simulation des dépenses annuelles 2022,</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1 960,00 €,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2 710,00 €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