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Mme PELISSIER Marie    </w:t>
      </w:r>
      <w:r>
        <w:t xml:space="preserve">283 rue Victor Hugot</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11 250 €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11/01/2024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PELISSIER Marie    </w:t>
      </w:r>
      <w:r>
        <w:t xml:space="preserve">283 rue Victor Hugot</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allée fénelon </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murs commerciaux emplacement N°1 d'environ 103 m² de surface utilisable. Rez de rue : 46 m². Rez de chaussée : 62 m² Climatisation rez de chaussée. Electrique rez de rue.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BX - 42 -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Mme PELISSIER Marie  Marie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Mme PELISSIER Marie  Marie,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9 375 € HT soit 11 250 €</w:t>
      </w:r>
      <w:r>
        <w:rPr>
          <w:color w:val="0000FF"/>
        </w:rPr>
        <w:t xml:space="preserve"> (</w:t>
      </w:r>
      <w:r>
        <w:t xml:space="preserve">ONZE MILLE DEUX CENT CINQUANTE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 Janvier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Mme PELISSIER Marie  Marie 283 rue Victor Hugot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6 863 sis allée fénelon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Mme PELISSIER Marie  Marie 283 rue Victor Hugot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6 863 du bien sis allée fénelon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