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0763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076325"/>
                    </a:xfrm>
                    <a:prstGeom prst="rect">
                      <a:avLst/>
                    </a:prstGeom>
                  </pic:spPr>
                </pic:pic>
              </a:graphicData>
            </a:graphic>
          </wp:inline>
        </w:drawing>
      </w:r>
      <w:r>
        <w:rPr>
          <w:sz w:val="24"/>
        </w:rPr>
        <w:t xml:space="preserve">  </w:t>
      </w:r>
      <w:r>
        <w:drawing>
          <wp:inline distT="0" distB="0" distL="0" distR="0">
            <wp:extent cx="1905000" cy="10763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076325"/>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(Lot), atteste par la présente avoir visité le 8 janvier 2024, une Maison Ancienne sis 353 rue Robert Daroux 46140 CAILLAC appartenant à Mr PEREZ  Fabrice </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Maison de type 4 de 122 m² de surface habitable et garage de 37m² sur un terrain de 1450m².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122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Parcelles parcelles B 1015/1417/1418/1419/1420 pour    1 450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Rez de chaussée:</w:t>
      </w:r>
    </w:p>
    <w:p>
      <w:pPr>
        <w:pStyle w:val="Détail"/>
        <w:numPr>
          <w:ilvl w:val="0"/>
          <w:numId w:val="4"/>
        </w:numPr>
      </w:pPr>
      <w:r>
        <w:t xml:space="preserve">Buanderie 5,71m²</w:t>
      </w:r>
    </w:p>
    <w:p>
      <w:pPr>
        <w:pStyle w:val="Détail"/>
        <w:numPr>
          <w:ilvl w:val="0"/>
          <w:numId w:val="4"/>
        </w:numPr>
      </w:pPr>
      <w:r>
        <w:t xml:space="preserve">Chambre 9,04m²</w:t>
      </w:r>
    </w:p>
    <w:p>
      <w:pPr>
        <w:pStyle w:val="Détail"/>
        <w:numPr>
          <w:ilvl w:val="0"/>
          <w:numId w:val="4"/>
        </w:numPr>
      </w:pPr>
      <w:r>
        <w:t xml:space="preserve">Couloir 2,11m²</w:t>
      </w:r>
    </w:p>
    <w:p>
      <w:pPr>
        <w:pStyle w:val="Détail"/>
        <w:numPr>
          <w:ilvl w:val="0"/>
          <w:numId w:val="4"/>
        </w:numPr>
      </w:pPr>
      <w:r>
        <w:t xml:space="preserve">Garage non attenant 37m²</w:t>
      </w:r>
    </w:p>
    <w:p>
      <w:pPr>
        <w:pStyle w:val="Détail"/>
        <w:numPr>
          <w:ilvl w:val="0"/>
          <w:numId w:val="4"/>
        </w:numPr>
      </w:pPr>
      <w:r>
        <w:t xml:space="preserve">Pièce 1,93m²</w:t>
      </w:r>
    </w:p>
    <w:p>
      <w:pPr>
        <w:pStyle w:val="Détail"/>
        <w:numPr>
          <w:ilvl w:val="0"/>
          <w:numId w:val="4"/>
        </w:numPr>
      </w:pPr>
      <w:r>
        <w:t xml:space="preserve">Séjour 45,14 m² avec cuisine</w:t>
      </w:r>
    </w:p>
    <w:p>
      <w:pPr>
        <w:pStyle w:val="Type de détail"/>
        <w:numPr>
          <w:ilvl w:val="0"/>
          <w:numId w:val="3"/>
        </w:numPr>
      </w:pPr>
      <w:r>
        <w:t xml:space="preserve">1er étage:</w:t>
      </w:r>
    </w:p>
    <w:p>
      <w:pPr>
        <w:pStyle w:val="Détail"/>
        <w:numPr>
          <w:ilvl w:val="0"/>
          <w:numId w:val="4"/>
        </w:numPr>
      </w:pPr>
      <w:r>
        <w:t xml:space="preserve">2 Chambres 17,04/20,40m²</w:t>
      </w:r>
    </w:p>
    <w:p>
      <w:pPr>
        <w:pStyle w:val="Détail"/>
        <w:numPr>
          <w:ilvl w:val="0"/>
          <w:numId w:val="4"/>
        </w:numPr>
      </w:pPr>
      <w:r>
        <w:t xml:space="preserve">Palier 10,33m²</w:t>
      </w:r>
    </w:p>
    <w:p>
      <w:pPr>
        <w:pStyle w:val="Détail"/>
        <w:numPr>
          <w:ilvl w:val="0"/>
          <w:numId w:val="4"/>
        </w:numPr>
      </w:pPr>
      <w:r>
        <w:t xml:space="preserve">Salle de bains 8,79m²</w:t>
      </w:r>
    </w:p>
    <w:p>
      <w:pPr>
        <w:pStyle w:val="Détail"/>
        <w:numPr>
          <w:ilvl w:val="0"/>
          <w:numId w:val="4"/>
        </w:numPr>
      </w:pPr>
      <w:r>
        <w:t xml:space="preserve">WC 1,30m²</w:t>
      </w:r>
    </w:p>
    <w:p>
      <w:pPr>
        <w:pStyle w:val="Type de détail"/>
        <w:numPr>
          <w:ilvl w:val="0"/>
          <w:numId w:val="3"/>
        </w:numPr>
      </w:pPr>
      <w:r>
        <w:t xml:space="preserve">Chauffage:</w:t>
      </w:r>
    </w:p>
    <w:p>
      <w:pPr>
        <w:pStyle w:val="Détail"/>
        <w:numPr>
          <w:ilvl w:val="0"/>
          <w:numId w:val="4"/>
        </w:numPr>
      </w:pPr>
      <w:r>
        <w:t xml:space="preserve">Electrique + bois insert et convecteurs</w:t>
      </w:r>
    </w:p>
    <w:p>
      <w:pPr>
        <w:pStyle w:val="Type de détail"/>
        <w:numPr>
          <w:ilvl w:val="0"/>
          <w:numId w:val="3"/>
        </w:numPr>
      </w:pPr>
      <w:r>
        <w:t xml:space="preserve">Equipements divers:</w:t>
      </w:r>
    </w:p>
    <w:p>
      <w:pPr>
        <w:pStyle w:val="Détail"/>
        <w:numPr>
          <w:ilvl w:val="0"/>
          <w:numId w:val="4"/>
        </w:numPr>
      </w:pPr>
      <w:r>
        <w:t xml:space="preserve">Tout à l'égout</w:t>
      </w:r>
    </w:p>
    <w:p>
      <w:pPr>
        <w:pStyle w:val="Type de détail"/>
        <w:numPr>
          <w:ilvl w:val="0"/>
          <w:numId w:val="3"/>
        </w:numPr>
      </w:pPr>
      <w:r>
        <w:t xml:space="preserve">Fenêtres:</w:t>
      </w:r>
    </w:p>
    <w:p>
      <w:pPr>
        <w:pStyle w:val="Détail"/>
        <w:numPr>
          <w:ilvl w:val="0"/>
          <w:numId w:val="4"/>
        </w:numPr>
      </w:pPr>
      <w:r>
        <w:t xml:space="preserve">Aluminium et PVC </w:t>
      </w:r>
    </w:p>
    <w:p>
      <w:pPr>
        <w:pStyle w:val="Détail"/>
        <w:numPr>
          <w:ilvl w:val="0"/>
          <w:numId w:val="4"/>
        </w:numPr>
      </w:pPr>
      <w:r>
        <w:t xml:space="preserve">Double vitrage</w:t>
      </w:r>
    </w:p>
    <w:p>
      <w:pPr>
        <w:pStyle w:val="Détail"/>
        <w:numPr>
          <w:ilvl w:val="0"/>
          <w:numId w:val="0"/>
        </w:numPr>
        <w:ind w:left="0" w:firstLine="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160 000 €</w:t>
      </w:r>
      <w:r>
        <w:rPr>
          <w:sz w:val="24"/>
        </w:rPr>
        <w:t xml:space="preserve"> (</w:t>
      </w:r>
      <w:r>
        <w:rPr>
          <w:b w:val="on"/>
          <w:sz w:val="24"/>
        </w:rPr>
        <w:t xml:space="preserve">CENT SOIXANTE MILLE EUROS</w:t>
      </w:r>
      <w:r>
        <w:rPr>
          <w:sz w:val="24"/>
        </w:rPr>
        <w:t xml:space="preserve">) et </w:t>
      </w:r>
      <w:r>
        <w:rPr>
          <w:b w:val="on"/>
          <w:sz w:val="24"/>
        </w:rPr>
        <w:t xml:space="preserve">170 000 €</w:t>
      </w:r>
      <w:r>
        <w:rPr>
          <w:sz w:val="24"/>
        </w:rPr>
        <w:t xml:space="preserve"> (</w:t>
      </w:r>
      <w:r>
        <w:rPr>
          <w:b w:val="on"/>
          <w:sz w:val="24"/>
        </w:rPr>
        <w:t xml:space="preserve">CENT SOIXANTE DIX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Cette évaluation a été donnée sur la base de l'état des prestations du bien, de sa situation, du marché immobilier et sous réserve du résultat favorable des expertises : termites, amiante, électricité, gaz, 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8 janvier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8"/>
      <w:footerReference w:type="default" r:id="rId00009"/>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