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847850" cy="12573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847850" cy="1257300"/>
                    </a:xfrm>
                    <a:prstGeom prst="rect">
                      <a:avLst/>
                    </a:prstGeom>
                  </pic:spPr>
                </pic:pic>
              </a:graphicData>
            </a:graphic>
          </wp:inline>
        </w:drawing>
      </w:r>
      <w:r>
        <w:rPr>
          <w:sz w:val="24"/>
        </w:rPr>
        <w:t xml:space="preserve"> </w:t>
      </w:r>
      <w:r>
        <w:drawing>
          <wp:inline distT="0" distB="0" distL="0" distR="0">
            <wp:extent cx="1790700" cy="127127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790700" cy="1271270"/>
                    </a:xfrm>
                    <a:prstGeom prst="rect">
                      <a:avLst/>
                    </a:prstGeom>
                  </pic:spPr>
                </pic:pic>
              </a:graphicData>
            </a:graphic>
          </wp:inline>
        </w:drawing>
      </w:r>
      <w:r>
        <w:rPr>
          <w:sz w:val="24"/>
        </w:rPr>
        <w:t xml:space="preserve"> </w:t>
      </w:r>
      <w:r>
        <w:drawing>
          <wp:inline distT="0" distB="0" distL="0" distR="0">
            <wp:extent cx="1581150" cy="124269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581150" cy="1242695"/>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4"/>
        </w:rPr>
        <w:t xml:space="preserve">Je soussigné(e), Marcel CAR, gérant de la Sarl Quercy Transactions, 3, place Jean-Jacques Chapou, 46000 CAHORS (Lot), atteste par la présente avoir visité le 04 décembre 2023, un(e) Maison Ancienne sis 483 rue Victor Hugo 46000 CAHORS appartenant à l'indivision,Mme PELISSIER Marie et Mr COUDRE Vincent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Cahors centre-ville maison avec garage et jardin d'environ 210 m² de surface habitable sur un terrain clos et arboré de 535 m². Rez de chaussée : garage, atelier, buanderie chaufferie, salle de jeux.1 er étage : entrée, séjour avec cuisine ouverte, 1 chambre, salle d'eau à finir, wc. 2éme étage : 4 chambres, salle de bains, wc, dressing, salle d'eau à finir. Chauffage central gaz de ville. Fenêtres bois double vitrage Volets bois. Tout à l'égout. Les informations sur les risques auquel ce bien est exposé sont disponibles sur le site Géorisques </w:t>
      </w:r>
      <w:r>
        <w:rPr>
          <w:color w:val="0000FF"/>
          <w:u w:val="single"/>
        </w:rPr>
        <w:t xml:space="preserve">www.georisques.gouv.fr </w:t>
      </w:r>
      <w:r>
        <w:t xml:space="preserve"> Parcelle BX n° 164 - 535 m²</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r>
        <w:rPr>
          <w:b w:val="on"/>
          <w:sz w:val="24"/>
        </w:rPr>
        <w:t xml:space="preserve">Situation du bien</w:t>
      </w:r>
      <w:r>
        <w:rPr>
          <w:sz w:val="24"/>
        </w:rPr>
        <w:t xml:space="preserve">: Centre-Ville </w:t>
      </w:r>
      <w:r>
        <w:rPr>
          <w:b w:val="on"/>
          <w:sz w:val="24"/>
        </w:rPr>
        <w:t xml:space="preserve">Rez de chaussée</w:t>
      </w:r>
      <w:r>
        <w:rPr>
          <w:sz w:val="24"/>
        </w:rPr>
        <w:t xml:space="preserve">: Atelier 6,58 m² Buanderie  chaufferie - 4,87 m² Cave 12,34 m² Dégagement 5,67 m² Garage 20,80 m² 2 Pièces 14,09 - 22,14 m² Terrasse 36,23 m² </w:t>
      </w:r>
      <w:r>
        <w:rPr>
          <w:b w:val="on"/>
          <w:sz w:val="24"/>
        </w:rPr>
        <w:t xml:space="preserve">1er étage: </w:t>
      </w:r>
      <w:r>
        <w:rPr>
          <w:sz w:val="24"/>
        </w:rPr>
        <w:t xml:space="preserve">2 Chambres 10,80 - 14,20 m² Cuisine ouverte 8,96 m² Hall d'entrée 15,50 m² Salle d'eau Séjour 34,76 m² Terrasse 15 m² wc </w:t>
      </w:r>
      <w:r>
        <w:rPr>
          <w:b w:val="on"/>
          <w:sz w:val="24"/>
        </w:rPr>
        <w:t xml:space="preserve">2ème étage:</w:t>
      </w:r>
      <w:r>
        <w:rPr>
          <w:sz w:val="24"/>
        </w:rPr>
        <w:t xml:space="preserve"> 4Chambres 12,15 - 18,10 - 18,52 - 19,95 - m² Dressing 6,08 m² Palier 8/,59 m² Salle d'eau 2,31 m² Salle de bains 3,83 m² wc </w:t>
      </w:r>
      <w:r>
        <w:rPr>
          <w:b w:val="on"/>
          <w:sz w:val="24"/>
        </w:rPr>
        <w:t xml:space="preserve">Dépendances:</w:t>
      </w:r>
      <w:r>
        <w:rPr>
          <w:sz w:val="24"/>
        </w:rPr>
        <w:t xml:space="preserve"> Appentis </w:t>
      </w:r>
      <w:r>
        <w:rPr>
          <w:b w:val="on"/>
          <w:sz w:val="24"/>
        </w:rPr>
        <w:t xml:space="preserve">Chauffage: </w:t>
      </w:r>
      <w:r>
        <w:rPr>
          <w:sz w:val="24"/>
        </w:rPr>
        <w:t xml:space="preserve">CC Gaz  </w:t>
      </w:r>
      <w:r>
        <w:rPr>
          <w:b w:val="on"/>
          <w:sz w:val="24"/>
        </w:rPr>
        <w:t xml:space="preserve">Equipements divers</w:t>
      </w:r>
      <w:r>
        <w:rPr>
          <w:sz w:val="24"/>
        </w:rPr>
        <w:t xml:space="preserve">: Double vitrage Tout à l'égout Gaz de ville </w:t>
      </w:r>
      <w:r>
        <w:rPr>
          <w:b w:val="on"/>
          <w:sz w:val="24"/>
        </w:rPr>
        <w:t xml:space="preserve">Fenêtres:</w:t>
      </w:r>
      <w:r>
        <w:rPr>
          <w:sz w:val="24"/>
        </w:rPr>
        <w:t xml:space="preserve"> Bois Double vitrage </w:t>
      </w:r>
      <w:r>
        <w:rPr>
          <w:b w:val="on"/>
          <w:sz w:val="24"/>
        </w:rPr>
        <w:t xml:space="preserve">Volets </w:t>
      </w:r>
      <w:r>
        <w:rPr>
          <w:sz w:val="24"/>
        </w:rPr>
        <w:t xml:space="preserve">bois </w:t>
      </w:r>
      <w:r>
        <w:rPr>
          <w:b w:val="on"/>
          <w:sz w:val="24"/>
        </w:rPr>
        <w:t xml:space="preserve">Terrain: </w:t>
      </w:r>
      <w:r>
        <w:rPr>
          <w:sz w:val="24"/>
        </w:rPr>
        <w:t xml:space="preserve">Arboré Cloturé </w:t>
      </w:r>
      <w:r>
        <w:rPr>
          <w:b w:val="on"/>
          <w:sz w:val="24"/>
        </w:rPr>
        <w:t xml:space="preserve">Toiture</w:t>
      </w:r>
      <w:r>
        <w:rPr>
          <w:sz w:val="24"/>
        </w:rPr>
        <w:t xml:space="preserve">: 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400 000 €</w:t>
      </w:r>
      <w:r>
        <w:rPr>
          <w:sz w:val="24"/>
        </w:rPr>
        <w:t xml:space="preserve"> (</w:t>
      </w:r>
      <w:r>
        <w:rPr>
          <w:b w:val="on"/>
          <w:sz w:val="24"/>
        </w:rPr>
        <w:t xml:space="preserve">QUATRE CENTS MILLE EUROS</w:t>
      </w:r>
      <w:r>
        <w:rPr>
          <w:sz w:val="24"/>
        </w:rPr>
        <w:t xml:space="preserve">) et </w:t>
      </w:r>
      <w:r>
        <w:rPr>
          <w:b w:val="on"/>
          <w:sz w:val="24"/>
        </w:rPr>
        <w:t xml:space="preserve">420 000 €</w:t>
      </w:r>
      <w:r>
        <w:rPr>
          <w:sz w:val="24"/>
        </w:rPr>
        <w:t xml:space="preserve"> (</w:t>
      </w:r>
      <w:r>
        <w:rPr>
          <w:b w:val="on"/>
          <w:sz w:val="24"/>
        </w:rPr>
        <w:t xml:space="preserve">QUATRE CENTS VINGT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12 décembre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