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4"/>
        </w:rPr>
        <w:t xml:space="preserve">Je soussigné(e), Marcel CAR, gérant de la Sarl Quercy Transactions, 3, place Jean-Jacques Chapou, 46000 CAHORS (Lot), atteste par la présente avoir visité le 12 décembre 2023, un(e) Appartement sis 51 place Lestieu 46000 CAHORS appartenant à Mme GUICHARD Marie- Thérése</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Cahors appartement centre-ville en duplex au 2éme d'un immeuble. Entrée, salon-salle à manger, cuisine, buanderie, wc. Etage : 3 chambres, palier-bureau, salle d'eau/wc. Chauffage central gaz de ville ; Fenêtres bois double vitrage. Tout à l'égout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color w:val="FFFFFF"/>
                <w:sz w:val="22"/>
              </w:rPr>
            </w:pPr>
            <w:r>
              <w:rPr>
                <w:b w:val="on"/>
                <w:color w:val="FFFFFF"/>
                <w:sz w:val="22"/>
              </w:rPr>
              <w:t xml:space="preserve"> Appartement</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r>
        <w:rPr>
          <w:b w:val="on"/>
          <w:sz w:val="24"/>
        </w:rPr>
        <w:t xml:space="preserve"> Situation:</w:t>
      </w:r>
      <w:r>
        <w:rPr>
          <w:sz w:val="24"/>
        </w:rPr>
        <w:t xml:space="preserve">Centre-Ville </w:t>
      </w:r>
      <w:r>
        <w:rPr>
          <w:b w:val="on"/>
          <w:sz w:val="24"/>
        </w:rPr>
        <w:t xml:space="preserve">2ème étage:</w:t>
      </w:r>
      <w:r>
        <w:rPr>
          <w:sz w:val="24"/>
        </w:rPr>
        <w:t xml:space="preserve"> Cuisine 16 m² Hall d'entrée 8,20 m²Lingerie buanderie 6,81 m² Palier 2,12 m² Pièce rangement 2 m² Salle à manger 36,97 m² WC 1,2 m² </w:t>
      </w:r>
      <w:r>
        <w:rPr>
          <w:b w:val="on"/>
          <w:sz w:val="24"/>
        </w:rPr>
        <w:t xml:space="preserve">3ème étage</w:t>
      </w:r>
      <w:r>
        <w:rPr>
          <w:sz w:val="24"/>
        </w:rPr>
        <w:t xml:space="preserve">: Bureau ouvert 27 m ² 3 Chambres 17 - 12 - 12 - m² Salle d'eau 9 m² </w:t>
      </w:r>
      <w:r>
        <w:rPr>
          <w:b w:val="on"/>
          <w:sz w:val="24"/>
        </w:rPr>
        <w:t xml:space="preserve">Chauffage:</w:t>
      </w:r>
      <w:r>
        <w:rPr>
          <w:sz w:val="24"/>
        </w:rPr>
        <w:t xml:space="preserve"> CC Gaz de ville</w:t>
      </w:r>
      <w:r>
        <w:rPr>
          <w:b w:val="on"/>
          <w:sz w:val="24"/>
        </w:rPr>
        <w:t xml:space="preserve"> Equipements divers:</w:t>
      </w:r>
      <w:r>
        <w:rPr>
          <w:sz w:val="24"/>
        </w:rPr>
        <w:t xml:space="preserve"> Double vitrage Tout à l'égout Gaz de ville </w:t>
      </w:r>
      <w:r>
        <w:rPr>
          <w:b w:val="on"/>
          <w:sz w:val="24"/>
        </w:rPr>
        <w:t xml:space="preserve">Equipements Electrique:</w:t>
      </w:r>
      <w:r>
        <w:rPr>
          <w:sz w:val="24"/>
        </w:rPr>
        <w:t xml:space="preserve"> Interphone Téléphone </w:t>
      </w:r>
      <w:r>
        <w:rPr>
          <w:b w:val="on"/>
          <w:sz w:val="24"/>
        </w:rPr>
        <w:t xml:space="preserve">Fenêtres:</w:t>
      </w:r>
      <w:r>
        <w:rPr>
          <w:sz w:val="24"/>
        </w:rPr>
        <w:t xml:space="preserve"> Bois Double vitrage </w:t>
      </w:r>
      <w:r>
        <w:rPr>
          <w:b w:val="on"/>
          <w:sz w:val="24"/>
        </w:rPr>
        <w:t xml:space="preserve">Volets </w:t>
      </w:r>
      <w:r>
        <w:rPr>
          <w:sz w:val="24"/>
        </w:rPr>
        <w:t xml:space="preserve">bois (Simple vitrage cuisine) </w:t>
      </w:r>
      <w:r>
        <w:rPr>
          <w:b w:val="on"/>
          <w:sz w:val="24"/>
        </w:rPr>
        <w:t xml:space="preserve"> Secteur SauvegardéToiture</w:t>
      </w:r>
      <w:r>
        <w:rPr>
          <w:sz w:val="24"/>
        </w:rPr>
        <w:t xml:space="preserve">: 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220 000 €</w:t>
      </w:r>
      <w:r>
        <w:rPr>
          <w:sz w:val="24"/>
        </w:rPr>
        <w:t xml:space="preserve"> (</w:t>
      </w:r>
      <w:r>
        <w:rPr>
          <w:b w:val="on"/>
          <w:sz w:val="24"/>
        </w:rPr>
        <w:t xml:space="preserve">DEUX CENT VINGT MILLE EUROS</w:t>
      </w:r>
      <w:r>
        <w:rPr>
          <w:sz w:val="24"/>
        </w:rPr>
        <w:t xml:space="preserve">) et </w:t>
      </w:r>
      <w:r>
        <w:rPr>
          <w:b w:val="on"/>
          <w:sz w:val="24"/>
        </w:rPr>
        <w:t xml:space="preserve">230 000 €</w:t>
      </w:r>
      <w:r>
        <w:rPr>
          <w:sz w:val="24"/>
        </w:rPr>
        <w:t xml:space="preserve"> (</w:t>
      </w:r>
      <w:r>
        <w:rPr>
          <w:b w:val="on"/>
          <w:sz w:val="24"/>
        </w:rPr>
        <w:t xml:space="preserve">DEUX CENT TRENTE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12 décembre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gérant</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