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POP Alin -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avoir, grâce à l'intervention de l'Agence Immobilière Quercy transactions, visité le bien désigné ci-après le 04/12/2023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CA6831 - 35 rue nationale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Centre-ville de Cahors quartier historique, immeuble à restaurer sur 3 niveaux d'environ 400 m² de surface utilisable. Avec 2 commerces loués et 4 appartements et grenier à restaurer. Composé : sous-sol : cave. Rez-de-chaussée : commerces (rénovés) loués  couloir, hall avec une verrière  1er étage : 2 appartements de à restaurer. 2ème étage : 2 appartements à restaurer. 3ème étage : 2 greniers pouvant être aménagés 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t xml:space="preserve">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                                                    € (                                                                 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ou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 14 /12/2023 pour la réponse de Indivision              Je/nous déclare(ons) être informé(s) qu'en cas d'accord de Indivision               , je/nous serai/ons tenu/s de régulariser le compromis de vente au plus tard le   31/01/2024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 11 décembre 2023,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