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une quartier résidentiel au calme, maison de 1995 d'environ 82 m² de surface habitable avec vue sur un terrain arboré et clôturé de 1418 m². Rez-de-jardin : 2 caves, garage/atelier/chaufferie. Rez-de-chaussée : entrée, séjour donnant sur la terrasse, cuisine. 1/2 palier : 3 chambres, wc, salle de bains. Chauffage central gaz de ville au sol.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5,58% soit 215 000 €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1 418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1 826 €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Détail"/>
                  </w:pPr>
                  <w:r>
                    <w:rPr>
                      <w:b w:val="on"/>
                    </w:rPr>
                    <w:t xml:space="preserve">Garage 48,5 m² - chaufferie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9,41 m²</w:t>
                  </w:r>
                </w:p>
                <w:p>
                  <w:pPr>
                    <w:pStyle w:val="Détail"/>
                  </w:pPr>
                  <w:r>
                    <w:t xml:space="preserve">Hall d'entrée 3,96 m²</w:t>
                  </w:r>
                </w:p>
                <w:p>
                  <w:pPr>
                    <w:pStyle w:val="Détail"/>
                  </w:pPr>
                  <w:r>
                    <w:t xml:space="preserve">Séjour 29,43 mé possibilité poêle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3 Chambres avec placard 10,77 - 10,17 - 11,86 -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1,48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17/12/2018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1 203,00 €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1998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