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066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066800"/>
                    </a:xfrm>
                    <a:prstGeom prst="rect">
                      <a:avLst/>
                    </a:prstGeom>
                  </pic:spPr>
                </pic:pic>
              </a:graphicData>
            </a:graphic>
          </wp:inline>
        </w:drawing>
      </w:r>
      <w:r>
        <w:rPr>
          <w:sz w:val="24"/>
        </w:rPr>
        <w:t xml:space="preserve"> </w:t>
      </w:r>
      <w:r>
        <w:drawing>
          <wp:inline distT="0" distB="0" distL="0" distR="0">
            <wp:extent cx="1905000" cy="8763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876300"/>
                    </a:xfrm>
                    <a:prstGeom prst="rect">
                      <a:avLst/>
                    </a:prstGeom>
                  </pic:spPr>
                </pic:pic>
              </a:graphicData>
            </a:graphic>
          </wp:inline>
        </w:drawing>
      </w:r>
      <w:r>
        <w:rPr>
          <w:sz w:val="24"/>
        </w:rPr>
        <w:t xml:space="preserve"> </w:t>
      </w:r>
      <w:r>
        <w:drawing>
          <wp:inline distT="0" distB="0" distL="0" distR="0">
            <wp:extent cx="1905000" cy="87630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87630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Rémi RAZES,  de la Sarl Quercy Transactions, 3, place Jean-Jacques Chapou, 46000 CAHORS (Lot), atteste par la présente avoir visité le 3 aout  2023, une Maison d'habitation sise 10 rue des chardonnerets 46000 CAHORS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appartenant à Mr Boulet Jean Paul.</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r>
        <w:rPr>
          <w:color w:val="000000"/>
        </w:rPr>
        <w:t xml:space="preserve">Maison mitoyenne située Quartier Croix de fer à Cahors .Elevée sur deux niveaux avec jardin , chauffage central gaz de ville(chaudière vétuste) , tt a l'égout , double vitrage sur 80% des huisseries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color w:val="000000"/>
        </w:rPr>
        <w:t xml:space="preserve">RDC </w:t>
      </w:r>
      <w:r>
        <w:rPr>
          <w:color w:val="000000"/>
        </w:rPr>
        <w:t xml:space="preserve">: ch , salon, cuisine , wc , garage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color w:val="000000"/>
        </w:rPr>
        <w:t xml:space="preserve">etage</w:t>
      </w:r>
      <w:r>
        <w:rPr>
          <w:color w:val="000000"/>
        </w:rPr>
        <w:t xml:space="preserve"> : 3 ch , sdb, wc , dressing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tout est à rafraichir.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Taxe foncière : 1700 euros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95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BV 128 pour  208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pPr>
      <w:r>
        <w:t xml:space="preserve">Rez de chaussée:</w:t>
      </w:r>
    </w:p>
    <w:p>
      <w:pPr>
        <w:pStyle w:val="Détail"/>
        <w:numPr>
          <w:ilvl w:val="0"/>
          <w:numId w:val="4"/>
        </w:numPr>
      </w:pPr>
      <w:r>
        <w:t xml:space="preserve">Chambre 10m²</w:t>
      </w:r>
    </w:p>
    <w:p>
      <w:pPr>
        <w:pStyle w:val="Détail"/>
        <w:numPr>
          <w:ilvl w:val="0"/>
          <w:numId w:val="4"/>
        </w:numPr>
      </w:pPr>
      <w:r>
        <w:t xml:space="preserve">Cuisine 9,3m²</w:t>
      </w:r>
    </w:p>
    <w:p>
      <w:pPr>
        <w:pStyle w:val="Détail"/>
        <w:numPr>
          <w:ilvl w:val="0"/>
          <w:numId w:val="4"/>
        </w:numPr>
      </w:pPr>
      <w:r>
        <w:t xml:space="preserve">Garage 16m²</w:t>
      </w:r>
    </w:p>
    <w:p>
      <w:pPr>
        <w:pStyle w:val="Détail"/>
        <w:numPr>
          <w:ilvl w:val="0"/>
          <w:numId w:val="4"/>
        </w:numPr>
      </w:pPr>
      <w:r>
        <w:t xml:space="preserve">Hall d'entrée 5m²</w:t>
      </w:r>
    </w:p>
    <w:p>
      <w:pPr>
        <w:pStyle w:val="Détail"/>
        <w:numPr>
          <w:ilvl w:val="0"/>
          <w:numId w:val="4"/>
        </w:numPr>
      </w:pPr>
      <w:r>
        <w:t xml:space="preserve">Séjour 19m²</w:t>
      </w:r>
    </w:p>
    <w:p>
      <w:pPr>
        <w:pStyle w:val="Détail"/>
        <w:numPr>
          <w:ilvl w:val="0"/>
          <w:numId w:val="4"/>
        </w:numPr>
      </w:pPr>
      <w:r>
        <w:t xml:space="preserve">Terrasse couverte 18 m²</w:t>
      </w:r>
    </w:p>
    <w:p>
      <w:pPr>
        <w:pStyle w:val="Détail"/>
        <w:numPr>
          <w:ilvl w:val="0"/>
          <w:numId w:val="4"/>
        </w:numPr>
      </w:pPr>
      <w:r>
        <w:t xml:space="preserve">WC 6,39 avec rangement</w:t>
      </w:r>
    </w:p>
    <w:p>
      <w:pPr>
        <w:pStyle w:val="Type de détail"/>
        <w:numPr>
          <w:ilvl w:val="0"/>
          <w:numId w:val="3"/>
        </w:numPr>
      </w:pPr>
      <w:r>
        <w:t xml:space="preserve">1er étage:</w:t>
      </w:r>
    </w:p>
    <w:p>
      <w:pPr>
        <w:pStyle w:val="Détail"/>
        <w:numPr>
          <w:ilvl w:val="0"/>
          <w:numId w:val="4"/>
        </w:numPr>
      </w:pPr>
      <w:r>
        <w:t xml:space="preserve">3 Chambres 9,80/10,30/12,00m²</w:t>
      </w:r>
    </w:p>
    <w:p>
      <w:pPr>
        <w:pStyle w:val="Détail"/>
        <w:numPr>
          <w:ilvl w:val="0"/>
          <w:numId w:val="4"/>
        </w:numPr>
      </w:pPr>
      <w:r>
        <w:t xml:space="preserve">Dressing 4,05m²</w:t>
      </w:r>
    </w:p>
    <w:p>
      <w:pPr>
        <w:pStyle w:val="Détail"/>
        <w:numPr>
          <w:ilvl w:val="0"/>
          <w:numId w:val="4"/>
        </w:numPr>
      </w:pPr>
      <w:r>
        <w:t xml:space="preserve">Palier 3,40m²</w:t>
      </w:r>
    </w:p>
    <w:p>
      <w:pPr>
        <w:pStyle w:val="Détail"/>
        <w:numPr>
          <w:ilvl w:val="0"/>
          <w:numId w:val="4"/>
        </w:numPr>
      </w:pPr>
      <w:r>
        <w:t xml:space="preserve">Salle de bains 5,25m²</w:t>
      </w:r>
    </w:p>
    <w:p>
      <w:pPr>
        <w:pStyle w:val="Détail"/>
        <w:numPr>
          <w:ilvl w:val="0"/>
          <w:numId w:val="4"/>
        </w:numPr>
      </w:pPr>
      <w:r>
        <w:t xml:space="preserve">WC 1,32m²</w:t>
      </w:r>
    </w:p>
    <w:p>
      <w:pPr>
        <w:pStyle w:val="Type de détail"/>
        <w:numPr>
          <w:ilvl w:val="0"/>
          <w:numId w:val="3"/>
        </w:numPr>
      </w:pPr>
      <w:r>
        <w:t xml:space="preserve">DPE:</w:t>
      </w:r>
    </w:p>
    <w:p>
      <w:pPr>
        <w:pStyle w:val="Détail"/>
        <w:numPr>
          <w:ilvl w:val="0"/>
          <w:numId w:val="4"/>
        </w:numPr>
      </w:pPr>
      <w:r>
        <w:t xml:space="preserve">Consommation énergétique en énergie primaire</w:t>
      </w:r>
    </w:p>
    <w:p>
      <w:pPr>
        <w:pStyle w:val="Détail"/>
        <w:numPr>
          <w:ilvl w:val="0"/>
          <w:numId w:val="4"/>
        </w:numPr>
      </w:pPr>
      <w:r>
        <w:t xml:space="preserve">Emission de gaz à effet de serre</w:t>
      </w:r>
    </w:p>
    <w:p>
      <w:pPr>
        <w:pStyle w:val="Type de détail"/>
        <w:numPr>
          <w:ilvl w:val="0"/>
          <w:numId w:val="3"/>
        </w:numPr>
      </w:pPr>
      <w:r>
        <w:t xml:space="preserve">Chauffage:</w:t>
      </w:r>
    </w:p>
    <w:p>
      <w:pPr>
        <w:pStyle w:val="Détail"/>
        <w:numPr>
          <w:ilvl w:val="0"/>
          <w:numId w:val="4"/>
        </w:numPr>
      </w:pPr>
      <w:r>
        <w:t xml:space="preserve">CC Gaz de ville chaudière vétuste</w:t>
      </w:r>
    </w:p>
    <w:p>
      <w:pPr>
        <w:pStyle w:val="Type de détail"/>
        <w:numPr>
          <w:ilvl w:val="0"/>
          <w:numId w:val="3"/>
        </w:numPr>
      </w:pPr>
      <w:r>
        <w:t xml:space="preserve">Fenêtres:</w:t>
      </w:r>
    </w:p>
    <w:p>
      <w:pPr>
        <w:pStyle w:val="Détail"/>
        <w:numPr>
          <w:ilvl w:val="0"/>
          <w:numId w:val="4"/>
        </w:numPr>
      </w:pPr>
      <w:r>
        <w:t xml:space="preserve">Bois</w:t>
      </w:r>
    </w:p>
    <w:p>
      <w:pPr>
        <w:pStyle w:val="Détail"/>
        <w:numPr>
          <w:ilvl w:val="0"/>
          <w:numId w:val="4"/>
        </w:numPr>
      </w:pPr>
      <w:r>
        <w:t xml:space="preserve">Double vitrage presque toutes ( deux en simple vitrage)</w:t>
      </w:r>
    </w:p>
    <w:p>
      <w:pPr>
        <w:pStyle w:val="Détail"/>
        <w:numPr>
          <w:ilvl w:val="0"/>
          <w:numId w:val="4"/>
        </w:numPr>
      </w:pPr>
      <w:r>
        <w:t xml:space="preserve">Volets bois</w:t>
      </w:r>
    </w:p>
    <w:p>
      <w:pPr>
        <w:pStyle w:val="Type de détail"/>
        <w:numPr>
          <w:ilvl w:val="0"/>
          <w:numId w:val="3"/>
        </w:numPr>
      </w:pPr>
      <w:r>
        <w:t xml:space="preserve">Terrain:</w:t>
      </w:r>
    </w:p>
    <w:p>
      <w:pPr>
        <w:pStyle w:val="Détail"/>
        <w:numPr>
          <w:ilvl w:val="0"/>
          <w:numId w:val="4"/>
        </w:numPr>
      </w:pPr>
      <w:r>
        <w:t xml:space="preserve">Cloturé</w:t>
      </w:r>
    </w:p>
    <w:p>
      <w:pPr>
        <w:pStyle w:val="Type de détail"/>
        <w:numPr>
          <w:ilvl w:val="0"/>
          <w:numId w:val="3"/>
        </w:numPr>
      </w:pPr>
      <w:r>
        <w:t xml:space="preserve">Toiture:</w:t>
      </w:r>
    </w:p>
    <w:p>
      <w:pPr>
        <w:pStyle w:val="Détail"/>
        <w:numPr>
          <w:ilvl w:val="0"/>
          <w:numId w:val="4"/>
        </w:numPr>
      </w:pPr>
      <w:r>
        <w:t xml:space="preserve">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120 000 €</w:t>
      </w:r>
      <w:r>
        <w:rPr>
          <w:sz w:val="24"/>
        </w:rPr>
        <w:t xml:space="preserve"> (</w:t>
      </w:r>
      <w:r>
        <w:rPr>
          <w:b w:val="on"/>
          <w:sz w:val="24"/>
        </w:rPr>
        <w:t xml:space="preserve">CENT VINGT MILLE EUROS</w:t>
      </w:r>
      <w:r>
        <w:rPr>
          <w:sz w:val="24"/>
        </w:rPr>
        <w:t xml:space="preserve">) et </w:t>
      </w:r>
      <w:r>
        <w:rPr>
          <w:b w:val="on"/>
          <w:sz w:val="24"/>
        </w:rPr>
        <w:t xml:space="preserve">125 000 €</w:t>
      </w:r>
      <w:r>
        <w:rPr>
          <w:sz w:val="24"/>
        </w:rPr>
        <w:t xml:space="preserve"> (</w:t>
      </w:r>
      <w:r>
        <w:rPr>
          <w:b w:val="on"/>
          <w:sz w:val="24"/>
        </w:rPr>
        <w:t xml:space="preserve">CENT VINGT CINQ MILLE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Cette évaluation a été donnée sur la base de l'état des prestations du bien, de sa situation, du marché immobilier et sous réserve du résultat favorable des expertises : termites,amiante, électricité, gaz, diagnostic de performance énergétique (DPE), assainissement.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4 septembre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