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847850" cy="13144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47850" cy="1314450"/>
                    </a:xfrm>
                    <a:prstGeom prst="rect">
                      <a:avLst/>
                    </a:prstGeom>
                  </pic:spPr>
                </pic:pic>
              </a:graphicData>
            </a:graphic>
          </wp:inline>
        </w:drawing>
      </w:r>
      <w:r>
        <w:rPr>
          <w:sz w:val="24"/>
        </w:rPr>
        <w:t xml:space="preserve"> </w:t>
      </w:r>
      <w:r>
        <w:drawing>
          <wp:inline distT="0" distB="0" distL="0" distR="0">
            <wp:extent cx="1905000" cy="13144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314450"/>
                    </a:xfrm>
                    <a:prstGeom prst="rect">
                      <a:avLst/>
                    </a:prstGeom>
                  </pic:spPr>
                </pic:pic>
              </a:graphicData>
            </a:graphic>
          </wp:inline>
        </w:drawing>
      </w:r>
      <w:r>
        <w:rPr>
          <w:sz w:val="24"/>
        </w:rPr>
        <w:t xml:space="preserve"> </w:t>
      </w:r>
      <w:r>
        <w:drawing>
          <wp:inline distT="0" distB="0" distL="0" distR="0">
            <wp:extent cx="1905000" cy="13144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3144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31 mai 2023, un(e) Maison Contemporaine sis 3 chemin de balandrie 46000 CAHORS appartenant à Indivision  ROUMEGOUX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t xml:space="preserve"> </w:t>
      </w:r>
      <w:r>
        <w:rPr>
          <w:sz w:val="24"/>
        </w:rPr>
        <w:t xml:space="preserve">Cahors sur les hauteurs maison des années 1970 d'environ 195 m² de surface habitable sur un terrain arboré de 2620 m². Rez de jardin : garage, chaufferie/buanderie, cave. Rez de chaussée : entrée, cuisine, séjour avec cheminée, 3 chambres, wc, salle de bains. Terrasse au tour de la maison. Étage : une Piece mansardée d'environ 49 m², salle de bains / wc, chambre. Chauffage central fioul ; Fenêtres bois survitrage. Assainissement individuel (non conforme). Dépendance : garage. </w:t>
      </w:r>
      <w:r>
        <w:rPr>
          <w:sz w:val="24"/>
        </w:rPr>
        <w:t xml:space="preserve">Parcelle n°  Parcelles DT- 323- 324- 329-330-331-332-  pour  2 620 m² Les informations sur les risques auquel ce bien est exposé sont disponibles sur le site Géorisques </w:t>
      </w:r>
      <w:r>
        <w:rPr>
          <w:color w:val="0000FF"/>
          <w:sz w:val="24"/>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b w:val="on"/>
          <w:sz w:val="24"/>
        </w:rPr>
        <w:t xml:space="preserve">  Situation du bien:</w:t>
      </w:r>
      <w:r>
        <w:rPr>
          <w:sz w:val="24"/>
        </w:rPr>
        <w:t xml:space="preserve"> 1ère Périphérie </w:t>
      </w:r>
      <w:r>
        <w:rPr>
          <w:b w:val="on"/>
          <w:sz w:val="24"/>
        </w:rPr>
        <w:t xml:space="preserve">Rez de Jardin</w:t>
      </w:r>
      <w:r>
        <w:rPr>
          <w:sz w:val="24"/>
        </w:rPr>
        <w:t xml:space="preserve">: Buanderie  chaufferie - 20,06 m² Cave 28,54 m² Garage 36,77 m² </w:t>
      </w:r>
      <w:r>
        <w:rPr>
          <w:b w:val="on"/>
          <w:sz w:val="24"/>
        </w:rPr>
        <w:t xml:space="preserve">Rez de chaussée:</w:t>
      </w:r>
      <w:r>
        <w:rPr>
          <w:sz w:val="24"/>
        </w:rPr>
        <w:t xml:space="preserve"> 3 Chambres 11,44 - 11,60 -17,33 - m² Couloir 7,44 m² Cuisine 12,90 m² Hall d'entrée 10,59 m²Séjour avec cheminée - 40,34 m² Salle de bains 6,71 m² WC 1,96 m² </w:t>
      </w:r>
      <w:r>
        <w:rPr>
          <w:b w:val="on"/>
          <w:sz w:val="24"/>
        </w:rPr>
        <w:t xml:space="preserve">1er étage:</w:t>
      </w:r>
      <w:r>
        <w:rPr>
          <w:sz w:val="24"/>
        </w:rPr>
        <w:t xml:space="preserve"> Chambre 20,32 m² Salle de bains wc 5,39 m² Salon 49,69 m² </w:t>
      </w:r>
      <w:r>
        <w:rPr>
          <w:b w:val="on"/>
          <w:sz w:val="24"/>
        </w:rPr>
        <w:t xml:space="preserve">Dépendances: </w:t>
      </w:r>
      <w:r>
        <w:rPr>
          <w:sz w:val="24"/>
        </w:rPr>
        <w:t xml:space="preserve">Garage 29,07 m²</w:t>
      </w:r>
      <w:r>
        <w:rPr>
          <w:b w:val="on"/>
          <w:sz w:val="24"/>
        </w:rPr>
        <w:t xml:space="preserve"> Chauffage:</w:t>
      </w:r>
      <w:r>
        <w:rPr>
          <w:sz w:val="24"/>
        </w:rPr>
        <w:t xml:space="preserve"> CC Fuel </w:t>
      </w:r>
      <w:r>
        <w:rPr>
          <w:b w:val="on"/>
          <w:sz w:val="24"/>
        </w:rPr>
        <w:t xml:space="preserve">Equipements</w:t>
      </w:r>
      <w:r>
        <w:rPr>
          <w:sz w:val="24"/>
        </w:rPr>
        <w:t xml:space="preserve"> </w:t>
      </w:r>
      <w:r>
        <w:rPr>
          <w:b w:val="on"/>
          <w:sz w:val="24"/>
        </w:rPr>
        <w:t xml:space="preserve">divers</w:t>
      </w:r>
      <w:r>
        <w:rPr>
          <w:sz w:val="24"/>
        </w:rPr>
        <w:t xml:space="preserve">: Fosse septique non conforme </w:t>
      </w:r>
      <w:r>
        <w:rPr>
          <w:b w:val="on"/>
          <w:sz w:val="24"/>
        </w:rPr>
        <w:t xml:space="preserve">Fenêtres:</w:t>
      </w:r>
      <w:r>
        <w:rPr>
          <w:sz w:val="24"/>
        </w:rPr>
        <w:t xml:space="preserve"> Bois survitrage Volets bois -Plain-pied</w:t>
      </w:r>
      <w:r>
        <w:rPr>
          <w:b w:val="on"/>
          <w:sz w:val="24"/>
        </w:rPr>
        <w:t xml:space="preserve">Terrain: </w:t>
      </w:r>
      <w:r>
        <w:rPr>
          <w:sz w:val="24"/>
        </w:rPr>
        <w:t xml:space="preserve">Arboré Parc </w:t>
      </w:r>
      <w:r>
        <w:rPr>
          <w:b w:val="on"/>
          <w:sz w:val="24"/>
        </w:rPr>
        <w:t xml:space="preserve">Toiture: </w:t>
      </w:r>
      <w:r>
        <w:rPr>
          <w:sz w:val="24"/>
        </w:rPr>
        <w:t xml:space="preserve">Tuiles </w:t>
      </w:r>
      <w:r>
        <w:rPr>
          <w:b w:val="on"/>
          <w:sz w:val="24"/>
        </w:rPr>
        <w:t xml:space="preserve">Vue</w:t>
      </w:r>
      <w:r>
        <w:rPr>
          <w:sz w:val="24"/>
        </w:rPr>
        <w:t xml:space="preserve">: Vue sur parc</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190 000 €</w:t>
      </w:r>
      <w:r>
        <w:rPr>
          <w:sz w:val="24"/>
        </w:rPr>
        <w:t xml:space="preserve"> (</w:t>
      </w:r>
      <w:r>
        <w:rPr>
          <w:b w:val="on"/>
          <w:sz w:val="24"/>
        </w:rPr>
        <w:t xml:space="preserve">CENT QUATRE-VINGT-DIX MILLE EUROS</w:t>
      </w:r>
      <w:r>
        <w:rPr>
          <w:sz w:val="24"/>
        </w:rPr>
        <w:t xml:space="preserve">) et </w:t>
      </w:r>
      <w:r>
        <w:rPr>
          <w:b w:val="on"/>
          <w:sz w:val="24"/>
        </w:rPr>
        <w:t xml:space="preserve">200 000 €</w:t>
      </w:r>
      <w:r>
        <w:rPr>
          <w:sz w:val="24"/>
        </w:rPr>
        <w:t xml:space="preserve"> (</w:t>
      </w:r>
      <w:r>
        <w:rPr>
          <w:b w:val="on"/>
          <w:sz w:val="24"/>
        </w:rPr>
        <w:t xml:space="preserve">DEUX</w:t>
      </w:r>
      <w:r>
        <w:rPr>
          <w:sz w:val="24"/>
        </w:rPr>
        <w:t xml:space="preserve"> </w:t>
      </w:r>
      <w:r>
        <w:rPr>
          <w:b w:val="on"/>
          <w:sz w:val="24"/>
        </w:rPr>
        <w:t xml:space="preserve">CENT-DIX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21 juin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