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661"/>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Mandat de vente Exclusif - </w:t>
      </w:r>
      <w:r>
        <w:rPr>
          <w:color w:val="004288"/>
          <w:sz w:val="32"/>
          <w:lang w:val="fr-FR"/>
        </w:rPr>
        <w:t xml:space="preserve">N°</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single"/>
          <w:lang w:val="fr-FR"/>
        </w:rPr>
        <w:t xml:space="preserve">Je soussignée</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Mme Jeanine ROCHEUX</w:t>
      </w:r>
      <w:r>
        <w:rPr>
          <w:rFonts w:eastAsia="Century Gothic" w:cs="Arial"/>
          <w:b/>
          <w:sz w:val="24"/>
          <w:szCs w:val="24"/>
          <w:lang w:val="fr-FR"/>
        </w:rPr>
        <w:br/>
        <w:t xml:space="preserve">194 avenue d'Ares, 33700 MERIGNAC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2"/>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conjointement et sol</w:t>
      </w:r>
      <w:r>
        <w:rPr>
          <w:b w:val="0"/>
          <w:color w:val="auto"/>
          <w:sz w:val="22"/>
          <w:lang w:val="fr-FR"/>
        </w:rPr>
        <w:t xml:space="preserve">idairement en qualité de seule propriétaire, mandate par la présente afin de rechercher un acquéreur et faire toutes les démarches en vue de vendre les biens et droits ci-dessous désignés et m’ engageant à produire toutes justifications de propriété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2"/>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662"/>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655"/>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662"/>
        <w:ind w:left="11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highlight w:val="none"/>
          <w:lang w:val="fr-FR"/>
        </w:rPr>
      </w:pPr>
      <w:r>
        <w:rPr>
          <w:b w:val="0"/>
          <w:color w:val="auto"/>
          <w:sz w:val="22"/>
          <w:lang w:val="fr-FR"/>
        </w:rPr>
        <w:t xml:space="preserve">Maison avec terrain attenant, cadastrée au numéro129 section AR pour une contenance totale d’environ 1805 m², sise : 25, Route Principale, 24580 PLAZAC.</w:t>
      </w:r>
      <w:r/>
    </w:p>
    <w:p>
      <w:pPr>
        <w:pStyle w:val="662"/>
        <w:ind w:left="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lang w:val="fr-FR"/>
        </w:rPr>
      </w:pPr>
      <w:r>
        <w:rPr>
          <w:b w:val="0"/>
          <w:color w:val="auto"/>
          <w:sz w:val="22"/>
          <w:highlight w:val="none"/>
          <w:lang w:val="fr-FR"/>
        </w:rPr>
      </w:r>
      <w:r>
        <w:rPr>
          <w:b w:val="0"/>
          <w:color w:val="auto"/>
          <w:sz w:val="22"/>
          <w:highlight w:val="none"/>
          <w:lang w:val="fr-FR"/>
        </w:rPr>
      </w:r>
    </w:p>
    <w:p>
      <w:pPr>
        <w:pStyle w:val="660"/>
        <w:rPr>
          <w:rFonts w:ascii="Century Gothic" w:hAnsi="Century Gothic" w:eastAsia="Century Gothic"/>
          <w:color w:val="000000"/>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 </w:t>
      </w:r>
      <w:r>
        <w:rPr>
          <w:b/>
          <w:sz w:val="22"/>
          <w:lang w:val="fr-FR"/>
        </w:rPr>
        <w:t xml:space="preserve">205 000 €</w:t>
      </w:r>
      <w:r>
        <w:rPr>
          <w:rFonts w:ascii="Century Gothic" w:hAnsi="Century Gothic" w:eastAsia="Century Gothic"/>
          <w:color w:val="000000"/>
          <w:lang w:val="fr-FR"/>
        </w:rPr>
        <w:t xml:space="preserve"> </w:t>
      </w:r>
      <w:r>
        <w:rPr>
          <w:b/>
          <w:sz w:val="22"/>
          <w:lang w:val="fr-FR"/>
        </w:rPr>
        <w:t xml:space="preserve">net vendeur </w:t>
      </w:r>
      <w:r>
        <w:rPr>
          <w:sz w:val="22"/>
          <w:lang w:val="fr-FR"/>
        </w:rPr>
        <w:t xml:space="preserve">payable comptant le jour de la signature de l'acte authentique, tant à l'aide de prêts que de fonds propres de l'acquéreur.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rPr>
          <w:rFonts w:ascii="Verdana" w:hAnsi="Verdana"/>
          <w:lang w:val="fr-FR"/>
        </w:rPr>
      </w:pPr>
      <w:r>
        <w:rPr>
          <w:b/>
          <w:sz w:val="22"/>
          <w:u w:val="single"/>
          <w:lang w:val="fr-FR"/>
        </w:rPr>
        <w:t xml:space="preserve">Honoraires</w:t>
      </w:r>
      <w:r>
        <w:rPr>
          <w:b/>
          <w:sz w:val="22"/>
          <w:lang w:val="fr-FR"/>
        </w:rPr>
        <w:t xml:space="preserve"> </w:t>
      </w:r>
      <w:r>
        <w:rPr>
          <w:sz w:val="22"/>
          <w:lang w:val="fr-FR"/>
        </w:rPr>
        <w:t xml:space="preserve">: Les honoraires de l'agence Maisons en Périgord </w:t>
      </w:r>
      <w:r>
        <w:rPr>
          <w:sz w:val="22"/>
          <w:lang w:val="fr-FR"/>
        </w:rPr>
        <w:t xml:space="preserve">à charge de l’acquéreur </w:t>
      </w:r>
      <w:r>
        <w:rPr>
          <w:sz w:val="22"/>
          <w:lang w:val="fr-FR"/>
        </w:rPr>
        <w:t xml:space="preserve">seront </w:t>
      </w:r>
      <w:r>
        <w:rPr>
          <w:sz w:val="22"/>
          <w:lang w:val="fr-FR"/>
        </w:rPr>
        <w:t xml:space="preserve">de:</w:t>
      </w:r>
      <w:r>
        <w:rPr>
          <w:sz w:val="22"/>
          <w:lang w:val="fr-FR"/>
        </w:rPr>
        <w:t xml:space="preserve"> </w:t>
      </w:r>
      <w:r>
        <w:rPr>
          <w:b/>
          <w:sz w:val="22"/>
          <w:lang w:val="fr-FR"/>
        </w:rPr>
        <w:t xml:space="preserve">12 300 €</w:t>
      </w:r>
      <w:r>
        <w:rPr>
          <w:sz w:val="22"/>
          <w:lang w:val="fr-FR"/>
        </w:rPr>
        <w:t xml:space="preserve"> </w:t>
      </w:r>
      <w:r>
        <w:rPr>
          <w:b/>
          <w:sz w:val="22"/>
          <w:lang w:val="fr-FR"/>
        </w:rPr>
        <w:t xml:space="preserve">TTC soit </w:t>
      </w:r>
      <w:r>
        <w:rPr>
          <w:rFonts w:cs="Arial"/>
          <w:b/>
          <w:sz w:val="22"/>
          <w:szCs w:val="22"/>
          <w:lang w:val="fr-FR"/>
        </w:rPr>
        <w:t xml:space="preserve">6.00%</w:t>
      </w:r>
      <w:r>
        <w:rPr>
          <w:b/>
          <w:sz w:val="28"/>
          <w:szCs w:val="24"/>
          <w:lang w:val="fr-FR"/>
        </w:rPr>
        <w:t xml:space="preserve"> </w:t>
      </w:r>
      <w:r>
        <w:rPr>
          <w:b/>
          <w:sz w:val="22"/>
          <w:lang w:val="fr-FR"/>
        </w:rPr>
        <w:t xml:space="preserve">du prix net vendeur, soit un prix affiché Honoraires d'agences inclus de </w:t>
      </w:r>
      <w:r>
        <w:rPr>
          <w:b/>
          <w:sz w:val="22"/>
          <w:lang w:val="fr-FR"/>
        </w:rPr>
        <w:t xml:space="preserve">217 300 €</w:t>
      </w:r>
      <w:r>
        <w:rPr>
          <w:b/>
          <w:sz w:val="22"/>
          <w:lang w:val="fr-FR"/>
        </w:rPr>
        <w:t xml:space="preserve">.</w:t>
      </w:r>
      <w:r/>
    </w:p>
    <w:p>
      <w:pPr>
        <w:pStyle w:val="660"/>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3"/>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62"/>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w:t>
      </w:r>
      <w:r>
        <w:rPr>
          <w:b w:val="0"/>
          <w:color w:val="auto"/>
          <w:sz w:val="22"/>
          <w:lang w:val="fr-FR"/>
        </w:rPr>
        <w:t xml:space="preserve">ois et au plus tard un mois avant le terme de la période autorisant le rejet de la reconduction, de la possibilité de ne pas reconduire le contrat qu'il a conclu avec une clause de reconduction tacite. Cette information, délivrée dans des termes clairs et </w:t>
      </w:r>
      <w:r>
        <w:rPr>
          <w:b w:val="0"/>
          <w:color w:val="auto"/>
          <w:sz w:val="22"/>
          <w:lang w:val="fr-FR"/>
        </w:rPr>
        <w:t xml:space="preserve">compréhensibles, mentionne, dans un encadré apparent, la date limite de résiliation. Lorsque cette information ne lui a pas été </w:t>
      </w:r>
      <w:r>
        <w:rPr>
          <w:b w:val="0"/>
          <w:color w:val="auto"/>
          <w:sz w:val="22"/>
          <w:lang w:val="fr-FR"/>
        </w:rPr>
        <w:t xml:space="preserve">adressée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656"/>
        <w:ind w:left="110" w:right="609" w:firstLine="62"/>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sz w:val="22"/>
          <w:lang w:val="fr-FR"/>
        </w:rPr>
      </w:pPr>
      <w:r>
        <w:rPr>
          <w:rFonts w:ascii="Arial" w:hAnsi="Arial" w:eastAsia="Arial"/>
          <w:b w:val="0"/>
          <w:sz w:val="22"/>
          <w:lang w:val="fr-FR"/>
        </w:rPr>
        <w:t xml:space="preserve">L'agence s'engage à prendre à ses frais l'ensemble des diagnostiques nécessaires à la vente du bien, hormis l'audit énergétique.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3"/>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Bien non concerné</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8"/>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8"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lang w:val="fr-FR"/>
        </w:rPr>
        <w:t xml:space="preserve">français</w:t>
      </w:r>
      <w:r>
        <w:rPr>
          <w:sz w:val="22"/>
          <w:lang w:val="fr-FR"/>
        </w:rPr>
        <w:t xml:space="preserve"> et étranger en fonction de nos choix de campagnes de communication, et notamment : </w:t>
      </w:r>
      <w:r>
        <w:rPr>
          <w:b/>
          <w:sz w:val="22"/>
          <w:lang w:val="fr-FR"/>
        </w:rPr>
        <w:t xml:space="preserve">Se Loger.com, A Vendre A Louer, Annonces Jaunes, Les clefs du Midi, Le Bon Coin, Logic </w:t>
      </w:r>
      <w:r>
        <w:rPr>
          <w:b/>
          <w:sz w:val="22"/>
          <w:lang w:val="fr-FR"/>
        </w:rPr>
        <w:t xml:space="preserve">Immo</w:t>
      </w:r>
      <w:r>
        <w:rPr>
          <w:b/>
          <w:sz w:val="22"/>
          <w:lang w:val="fr-FR"/>
        </w:rPr>
        <w:t xml:space="preserve">, Acheter Louer, Paru-Vendu, Explorimmo, ®-© etc...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 et à poser un panneau sur le bien immobilier si l'agence le juge utile.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9"/>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0"/>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1"/>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2"/>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3"/>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3" o:title=""/>
              </v:shape>
            </w:pict>
          </mc:Fallback>
        </mc:AlternateConten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3"/>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663"/>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663"/>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lang w:val="fr-FR"/>
        </w:rPr>
        <w:t xml:space="preserve">que  vous</w:t>
      </w:r>
      <w:r>
        <w:rPr>
          <w:sz w:val="22"/>
          <w:lang w:val="fr-FR"/>
        </w:rPr>
        <w:t xml:space="preserve"> jugerez le plus approprié et publier toute photographie. Le mandant pourra exercer son droit d'accès et de rectification conformément à l'article 27 de la loi du 6 janvier 1978.</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663"/>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Etablir en notre nom tous actes sous seing privé (compromis en particulier), (éventuellement assortis d'une demande de prêt aux clauses et conditions nécessaires à l'accomplissement des présentes) et </w:t>
      </w:r>
      <w:r>
        <w:rPr>
          <w:sz w:val="22"/>
          <w:lang w:val="fr-FR"/>
        </w:rPr>
        <w:t xml:space="preserve">recueillir</w:t>
      </w:r>
      <w:r>
        <w:rPr>
          <w:sz w:val="22"/>
          <w:lang w:val="fr-FR"/>
        </w:rPr>
        <w:t xml:space="preserve"> la signature de l'acquéreur.</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préempteur</w:t>
      </w:r>
      <w:r>
        <w:rPr>
          <w:sz w:val="22"/>
          <w:lang w:val="fr-FR"/>
        </w:rPr>
        <w:t xml:space="preserve"> si ce prix est inférieur au prix demandé.</w:t>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Séquestre</w:t>
      </w:r>
      <w:r>
        <w:rPr>
          <w:sz w:val="22"/>
          <w:lang w:val="fr-FR"/>
        </w:rPr>
        <w:t xml:space="preserve"> : En vue de garantir la bonne </w:t>
      </w:r>
      <w:r>
        <w:rPr>
          <w:sz w:val="22"/>
          <w:lang w:val="fr-FR"/>
        </w:rPr>
        <w:t xml:space="preserve">exécution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662"/>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663"/>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expressément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5"/>
        </w:numPr>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w:t>
      </w:r>
      <w:r>
        <w:rPr>
          <w:b/>
          <w:bCs/>
          <w:u w:val="single"/>
        </w:rPr>
        <w:t xml:space="preserve">mandant</w:t>
      </w:r>
      <w:r>
        <w:rPr>
          <w:b/>
          <w:bCs/>
          <w:u w:val="single"/>
        </w:rPr>
        <w:t xml:space="preserve"> :</w:t>
      </w:r>
      <w:r/>
    </w:p>
    <w:p>
      <w:pPr>
        <w:pStyle w:val="663"/>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63"/>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663"/>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55"/>
        <w:numPr>
          <w:ilvl w:val="0"/>
          <w:numId w:val="5"/>
        </w:numPr>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663"/>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663"/>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663"/>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12 Actions particulières du mandat Exclusif :</w:t>
      </w:r>
      <w:r/>
    </w:p>
    <w:p>
      <w:pPr>
        <w:pStyle w:val="663"/>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663"/>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13.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662"/>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14 - Option Exécution immédiate du mandat</w:t>
      </w:r>
      <w:r>
        <w:rPr>
          <w:b/>
          <w:sz w:val="24"/>
          <w:lang w:val="fr-FR"/>
        </w:rPr>
        <w:t xml:space="preserve"> </w:t>
      </w:r>
      <w:r>
        <w:rPr>
          <w:sz w:val="22"/>
          <w:lang w:val="fr-FR"/>
        </w:rPr>
        <w:t xml:space="preserve">(si le mandat est signé à l'agence) :</w:t>
      </w:r>
      <w:r/>
    </w:p>
    <w:p>
      <w:pPr>
        <w:pStyle w:val="662"/>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Fait à Montignac </w:t>
      </w:r>
      <w:r>
        <w:rPr>
          <w:b w:val="0"/>
          <w:color w:val="auto"/>
          <w:sz w:val="22"/>
          <w:lang w:val="fr-FR"/>
        </w:rPr>
        <w:t xml:space="preserve">le </w:t>
      </w:r>
      <w:r>
        <w:rPr>
          <w:b w:val="0"/>
          <w:color w:val="auto"/>
          <w:sz w:val="22"/>
          <w:lang w:val="fr-FR"/>
        </w:rPr>
        <w:t xml:space="preserve">21 11 2023</w:t>
      </w:r>
      <w:r>
        <w:rPr>
          <w:b w:val="0"/>
          <w:color w:val="auto"/>
          <w:sz w:val="22"/>
          <w:lang w:val="fr-FR"/>
        </w:rPr>
        <w:t xml:space="preserve"> </w:t>
      </w:r>
      <w:r>
        <w:rPr>
          <w:b w:val="0"/>
          <w:color w:val="auto"/>
          <w:sz w:val="22"/>
          <w:lang w:val="fr-FR"/>
        </w:rPr>
        <w:t xml:space="preserve">en deux exemplaires: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lang w:val="fr-FR"/>
        </w:rPr>
      </w:pPr>
      <w:r>
        <w:rPr>
          <w:b w:val="0"/>
          <w:color w:val="auto"/>
          <w:sz w:val="22"/>
          <w:lang w:val="fr-FR"/>
        </w:rPr>
        <w:t xml:space="preserve">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r>
      <w:r/>
    </w:p>
    <w:p>
      <w:pPr>
        <w:pStyle w:val="654"/>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662"/>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662"/>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662"/>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662"/>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4"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5"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662"/>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firstLine="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Mme Jeanine ROCHEUX</w:t>
      </w:r>
      <w:r/>
    </w:p>
    <w:p>
      <w:pPr>
        <w:pStyle w:val="662"/>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6"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662"/>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w:t>
      </w:r>
      <w:r>
        <w:rPr>
          <w:sz w:val="22"/>
          <w:lang w:val="fr-FR"/>
        </w:rPr>
        <w:t xml:space="preserve">12 300 € </w:t>
      </w:r>
      <w:r>
        <w:rPr>
          <w:sz w:val="22"/>
          <w:lang w:val="fr-FR"/>
        </w:rPr>
        <w:t xml:space="preserve">TTC soit </w:t>
      </w:r>
      <w:r>
        <w:rPr>
          <w:sz w:val="22"/>
          <w:lang w:val="fr-FR"/>
        </w:rPr>
        <w:t xml:space="preserve">6.00%</w:t>
      </w:r>
      <w:r>
        <w:rPr>
          <w:sz w:val="22"/>
          <w:lang w:val="fr-FR"/>
        </w:rPr>
        <w:t xml:space="preserve"> </w:t>
      </w:r>
      <w:r>
        <w:rPr>
          <w:sz w:val="22"/>
          <w:lang w:val="fr-FR"/>
        </w:rPr>
        <w:t xml:space="preserve">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662"/>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pourra se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2"/>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662"/>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662"/>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662"/>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différends</w:t>
      </w:r>
      <w:r>
        <w:rPr>
          <w:b w:val="0"/>
          <w:color w:val="auto"/>
          <w:sz w:val="22"/>
          <w:lang w:val="fr-FR"/>
        </w:rPr>
        <w:t xml:space="preserve">."</w:t>
      </w:r>
      <w:r/>
    </w:p>
    <w:p>
      <w:pPr>
        <w:pStyle w:val="662"/>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656"/>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662"/>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662"/>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662"/>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662"/>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662"/>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62"/>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662"/>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62"/>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662"/>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662"/>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62"/>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662"/>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662"/>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662"/>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662"/>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662"/>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662"/>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662"/>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662"/>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lang w:val="fr-FR"/>
        </w:rPr>
      </w:pPr>
      <w:r>
        <w:rPr>
          <w:b w:val="0"/>
          <w:color w:val="auto"/>
          <w:sz w:val="22"/>
          <w:lang w:val="fr-FR"/>
        </w:rPr>
        <w:t xml:space="preserve">Signature(s) du (des) </w:t>
      </w:r>
      <w:r>
        <w:rPr>
          <w:b w:val="0"/>
          <w:color w:val="auto"/>
          <w:sz w:val="22"/>
          <w:lang w:val="fr-FR"/>
        </w:rPr>
        <w:t xml:space="preserve">consomateur</w:t>
      </w:r>
      <w:r>
        <w:rPr>
          <w:b w:val="0"/>
          <w:color w:val="auto"/>
          <w:sz w:val="22"/>
          <w:lang w:val="fr-FR"/>
        </w:rPr>
        <w:t xml:space="preserve">(s)</w:t>
      </w:r>
      <w:r>
        <w:rPr>
          <w:b w:val="0"/>
          <w:color w:val="auto"/>
          <w:sz w:val="22"/>
          <w:lang w:val="fr-FR"/>
        </w:rPr>
        <w:tab/>
        <w:t xml:space="preserve">Signature du mandataire Maisons en Périgord</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6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57"/>
    <w:link w:val="654"/>
    <w:uiPriority w:val="9"/>
    <w:rPr>
      <w:rFonts w:ascii="Arial" w:hAnsi="Arial" w:eastAsia="Arial" w:cs="Arial"/>
      <w:sz w:val="40"/>
      <w:szCs w:val="40"/>
    </w:rPr>
  </w:style>
  <w:style w:type="character" w:styleId="15">
    <w:name w:val="Heading 2 Char"/>
    <w:basedOn w:val="657"/>
    <w:link w:val="655"/>
    <w:uiPriority w:val="9"/>
    <w:rPr>
      <w:rFonts w:ascii="Arial" w:hAnsi="Arial" w:eastAsia="Arial" w:cs="Arial"/>
      <w:sz w:val="34"/>
    </w:rPr>
  </w:style>
  <w:style w:type="character" w:styleId="17">
    <w:name w:val="Heading 3 Char"/>
    <w:basedOn w:val="657"/>
    <w:link w:val="656"/>
    <w:uiPriority w:val="9"/>
    <w:rPr>
      <w:rFonts w:ascii="Arial" w:hAnsi="Arial" w:eastAsia="Arial" w:cs="Arial"/>
      <w:sz w:val="30"/>
      <w:szCs w:val="30"/>
    </w:rPr>
  </w:style>
  <w:style w:type="paragraph" w:styleId="18">
    <w:name w:val="Heading 4"/>
    <w:basedOn w:val="653"/>
    <w:next w:val="65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57"/>
    <w:link w:val="18"/>
    <w:uiPriority w:val="9"/>
    <w:rPr>
      <w:rFonts w:ascii="Arial" w:hAnsi="Arial" w:eastAsia="Arial" w:cs="Arial"/>
      <w:b/>
      <w:bCs/>
      <w:sz w:val="26"/>
      <w:szCs w:val="26"/>
    </w:rPr>
  </w:style>
  <w:style w:type="paragraph" w:styleId="20">
    <w:name w:val="Heading 5"/>
    <w:basedOn w:val="653"/>
    <w:next w:val="65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57"/>
    <w:link w:val="20"/>
    <w:uiPriority w:val="9"/>
    <w:rPr>
      <w:rFonts w:ascii="Arial" w:hAnsi="Arial" w:eastAsia="Arial" w:cs="Arial"/>
      <w:b/>
      <w:bCs/>
      <w:sz w:val="24"/>
      <w:szCs w:val="24"/>
    </w:rPr>
  </w:style>
  <w:style w:type="paragraph" w:styleId="22">
    <w:name w:val="Heading 6"/>
    <w:basedOn w:val="653"/>
    <w:next w:val="65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57"/>
    <w:link w:val="22"/>
    <w:uiPriority w:val="9"/>
    <w:rPr>
      <w:rFonts w:ascii="Arial" w:hAnsi="Arial" w:eastAsia="Arial" w:cs="Arial"/>
      <w:b/>
      <w:bCs/>
      <w:sz w:val="22"/>
      <w:szCs w:val="22"/>
    </w:rPr>
  </w:style>
  <w:style w:type="paragraph" w:styleId="24">
    <w:name w:val="Heading 7"/>
    <w:basedOn w:val="653"/>
    <w:next w:val="65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57"/>
    <w:link w:val="24"/>
    <w:uiPriority w:val="9"/>
    <w:rPr>
      <w:rFonts w:ascii="Arial" w:hAnsi="Arial" w:eastAsia="Arial" w:cs="Arial"/>
      <w:b/>
      <w:bCs/>
      <w:i/>
      <w:iCs/>
      <w:sz w:val="22"/>
      <w:szCs w:val="22"/>
    </w:rPr>
  </w:style>
  <w:style w:type="paragraph" w:styleId="26">
    <w:name w:val="Heading 8"/>
    <w:basedOn w:val="653"/>
    <w:next w:val="65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57"/>
    <w:link w:val="26"/>
    <w:uiPriority w:val="9"/>
    <w:rPr>
      <w:rFonts w:ascii="Arial" w:hAnsi="Arial" w:eastAsia="Arial" w:cs="Arial"/>
      <w:i/>
      <w:iCs/>
      <w:sz w:val="22"/>
      <w:szCs w:val="22"/>
    </w:rPr>
  </w:style>
  <w:style w:type="paragraph" w:styleId="28">
    <w:name w:val="Heading 9"/>
    <w:basedOn w:val="653"/>
    <w:next w:val="65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57"/>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657"/>
    <w:link w:val="661"/>
    <w:uiPriority w:val="10"/>
    <w:rPr>
      <w:sz w:val="48"/>
      <w:szCs w:val="48"/>
    </w:rPr>
  </w:style>
  <w:style w:type="paragraph" w:styleId="35">
    <w:name w:val="Subtitle"/>
    <w:basedOn w:val="653"/>
    <w:next w:val="653"/>
    <w:link w:val="36"/>
    <w:uiPriority w:val="11"/>
    <w:qFormat/>
    <w:pPr>
      <w:spacing w:before="200" w:after="200"/>
    </w:pPr>
    <w:rPr>
      <w:sz w:val="24"/>
      <w:szCs w:val="24"/>
    </w:rPr>
  </w:style>
  <w:style w:type="character" w:styleId="36">
    <w:name w:val="Subtitle Char"/>
    <w:basedOn w:val="657"/>
    <w:link w:val="35"/>
    <w:uiPriority w:val="11"/>
    <w:rPr>
      <w:sz w:val="24"/>
      <w:szCs w:val="24"/>
    </w:rPr>
  </w:style>
  <w:style w:type="paragraph" w:styleId="37">
    <w:name w:val="Quote"/>
    <w:basedOn w:val="653"/>
    <w:next w:val="653"/>
    <w:link w:val="38"/>
    <w:uiPriority w:val="29"/>
    <w:qFormat/>
    <w:pPr>
      <w:ind w:left="720" w:right="720"/>
    </w:pPr>
    <w:rPr>
      <w:i/>
    </w:rPr>
  </w:style>
  <w:style w:type="character" w:styleId="38">
    <w:name w:val="Quote Char"/>
    <w:link w:val="37"/>
    <w:uiPriority w:val="29"/>
    <w:rPr>
      <w:i/>
    </w:rPr>
  </w:style>
  <w:style w:type="paragraph" w:styleId="39">
    <w:name w:val="Intense Quote"/>
    <w:basedOn w:val="653"/>
    <w:next w:val="65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53"/>
    <w:link w:val="42"/>
    <w:uiPriority w:val="99"/>
    <w:unhideWhenUsed/>
    <w:pPr>
      <w:spacing w:after="0" w:line="240" w:lineRule="auto"/>
      <w:tabs>
        <w:tab w:val="center" w:pos="7143" w:leader="none"/>
        <w:tab w:val="right" w:pos="14287" w:leader="none"/>
      </w:tabs>
    </w:pPr>
  </w:style>
  <w:style w:type="character" w:styleId="42">
    <w:name w:val="Header Char"/>
    <w:basedOn w:val="657"/>
    <w:link w:val="41"/>
    <w:uiPriority w:val="99"/>
  </w:style>
  <w:style w:type="paragraph" w:styleId="43">
    <w:name w:val="Footer"/>
    <w:basedOn w:val="653"/>
    <w:link w:val="46"/>
    <w:uiPriority w:val="99"/>
    <w:unhideWhenUsed/>
    <w:pPr>
      <w:spacing w:after="0" w:line="240" w:lineRule="auto"/>
      <w:tabs>
        <w:tab w:val="center" w:pos="7143" w:leader="none"/>
        <w:tab w:val="right" w:pos="14287" w:leader="none"/>
      </w:tabs>
    </w:pPr>
  </w:style>
  <w:style w:type="character" w:styleId="44">
    <w:name w:val="Footer Char"/>
    <w:basedOn w:val="657"/>
    <w:link w:val="43"/>
    <w:uiPriority w:val="99"/>
  </w:style>
  <w:style w:type="paragraph" w:styleId="45">
    <w:name w:val="Caption"/>
    <w:basedOn w:val="653"/>
    <w:next w:val="653"/>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5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5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57"/>
    <w:uiPriority w:val="99"/>
    <w:unhideWhenUsed/>
    <w:rPr>
      <w:vertAlign w:val="superscript"/>
    </w:rPr>
  </w:style>
  <w:style w:type="paragraph" w:styleId="177">
    <w:name w:val="endnote text"/>
    <w:basedOn w:val="65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57"/>
    <w:uiPriority w:val="99"/>
    <w:semiHidden/>
    <w:unhideWhenUsed/>
    <w:rPr>
      <w:vertAlign w:val="superscript"/>
    </w:rPr>
  </w:style>
  <w:style w:type="paragraph" w:styleId="180">
    <w:name w:val="toc 1"/>
    <w:basedOn w:val="653"/>
    <w:next w:val="653"/>
    <w:uiPriority w:val="39"/>
    <w:unhideWhenUsed/>
    <w:pPr>
      <w:ind w:left="0" w:right="0" w:firstLine="0"/>
      <w:spacing w:after="57"/>
    </w:pPr>
  </w:style>
  <w:style w:type="paragraph" w:styleId="181">
    <w:name w:val="toc 2"/>
    <w:basedOn w:val="653"/>
    <w:next w:val="653"/>
    <w:uiPriority w:val="39"/>
    <w:unhideWhenUsed/>
    <w:pPr>
      <w:ind w:left="283" w:right="0" w:firstLine="0"/>
      <w:spacing w:after="57"/>
    </w:pPr>
  </w:style>
  <w:style w:type="paragraph" w:styleId="182">
    <w:name w:val="toc 3"/>
    <w:basedOn w:val="653"/>
    <w:next w:val="653"/>
    <w:uiPriority w:val="39"/>
    <w:unhideWhenUsed/>
    <w:pPr>
      <w:ind w:left="567" w:right="0" w:firstLine="0"/>
      <w:spacing w:after="57"/>
    </w:pPr>
  </w:style>
  <w:style w:type="paragraph" w:styleId="183">
    <w:name w:val="toc 4"/>
    <w:basedOn w:val="653"/>
    <w:next w:val="653"/>
    <w:uiPriority w:val="39"/>
    <w:unhideWhenUsed/>
    <w:pPr>
      <w:ind w:left="850" w:right="0" w:firstLine="0"/>
      <w:spacing w:after="57"/>
    </w:pPr>
  </w:style>
  <w:style w:type="paragraph" w:styleId="184">
    <w:name w:val="toc 5"/>
    <w:basedOn w:val="653"/>
    <w:next w:val="653"/>
    <w:uiPriority w:val="39"/>
    <w:unhideWhenUsed/>
    <w:pPr>
      <w:ind w:left="1134" w:right="0" w:firstLine="0"/>
      <w:spacing w:after="57"/>
    </w:pPr>
  </w:style>
  <w:style w:type="paragraph" w:styleId="185">
    <w:name w:val="toc 6"/>
    <w:basedOn w:val="653"/>
    <w:next w:val="653"/>
    <w:uiPriority w:val="39"/>
    <w:unhideWhenUsed/>
    <w:pPr>
      <w:ind w:left="1417" w:right="0" w:firstLine="0"/>
      <w:spacing w:after="57"/>
    </w:pPr>
  </w:style>
  <w:style w:type="paragraph" w:styleId="186">
    <w:name w:val="toc 7"/>
    <w:basedOn w:val="653"/>
    <w:next w:val="653"/>
    <w:uiPriority w:val="39"/>
    <w:unhideWhenUsed/>
    <w:pPr>
      <w:ind w:left="1701" w:right="0" w:firstLine="0"/>
      <w:spacing w:after="57"/>
    </w:pPr>
  </w:style>
  <w:style w:type="paragraph" w:styleId="187">
    <w:name w:val="toc 8"/>
    <w:basedOn w:val="653"/>
    <w:next w:val="653"/>
    <w:uiPriority w:val="39"/>
    <w:unhideWhenUsed/>
    <w:pPr>
      <w:ind w:left="1984" w:right="0" w:firstLine="0"/>
      <w:spacing w:after="57"/>
    </w:pPr>
  </w:style>
  <w:style w:type="paragraph" w:styleId="188">
    <w:name w:val="toc 9"/>
    <w:basedOn w:val="653"/>
    <w:next w:val="65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53"/>
    <w:next w:val="653"/>
    <w:uiPriority w:val="99"/>
    <w:unhideWhenUsed/>
    <w:pPr>
      <w:spacing w:after="0" w:afterAutospacing="0"/>
    </w:pPr>
  </w:style>
  <w:style w:type="paragraph" w:styleId="653" w:default="1">
    <w:name w:val="Normal"/>
    <w:qFormat/>
    <w:pPr>
      <w:spacing w:after="0" w:line="240" w:lineRule="auto"/>
    </w:pPr>
    <w:rPr>
      <w:rFonts w:hAnsi="Arial" w:eastAsia="Arial"/>
      <w:sz w:val="20"/>
    </w:rPr>
  </w:style>
  <w:style w:type="paragraph" w:styleId="654">
    <w:name w:val="Heading 1"/>
    <w:basedOn w:val="653"/>
    <w:qFormat/>
    <w:pPr>
      <w:outlineLvl w:val="0"/>
    </w:pPr>
    <w:rPr>
      <w:sz w:val="24"/>
    </w:rPr>
  </w:style>
  <w:style w:type="paragraph" w:styleId="655">
    <w:name w:val="Heading 2"/>
    <w:basedOn w:val="653"/>
    <w:qFormat/>
    <w:pPr>
      <w:jc w:val="center"/>
      <w:outlineLvl w:val="1"/>
    </w:pPr>
    <w:rPr>
      <w:sz w:val="24"/>
    </w:rPr>
  </w:style>
  <w:style w:type="paragraph" w:styleId="656">
    <w:name w:val="Heading 3"/>
    <w:basedOn w:val="653"/>
    <w:qFormat/>
    <w:pPr>
      <w:jc w:val="center"/>
      <w:outlineLvl w:val="2"/>
    </w:pPr>
    <w:rPr>
      <w:rFonts w:ascii="Times New Roman" w:hAnsi="Times New Roman" w:eastAsia="Times New Roman"/>
      <w:b/>
    </w:rPr>
  </w:style>
  <w:style w:type="character" w:styleId="657" w:default="1">
    <w:name w:val="Default Paragraph Font"/>
    <w:uiPriority w:val="1"/>
    <w:semiHidden/>
    <w:unhideWhenUsed/>
  </w:style>
  <w:style w:type="table" w:styleId="658" w:default="1">
    <w:name w:val="Normal Table"/>
    <w:uiPriority w:val="99"/>
    <w:semiHidden/>
    <w:unhideWhenUsed/>
    <w:tblPr>
      <w:tblInd w:w="0" w:type="dxa"/>
      <w:tblCellMar>
        <w:left w:w="108" w:type="dxa"/>
        <w:top w:w="0" w:type="dxa"/>
        <w:right w:w="108" w:type="dxa"/>
        <w:bottom w:w="0" w:type="dxa"/>
      </w:tblCellMar>
    </w:tblPr>
  </w:style>
  <w:style w:type="numbering" w:styleId="659" w:default="1">
    <w:name w:val="No List"/>
    <w:uiPriority w:val="99"/>
    <w:semiHidden/>
    <w:unhideWhenUsed/>
  </w:style>
  <w:style w:type="paragraph" w:styleId="66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1">
    <w:name w:val="Title"/>
    <w:basedOn w:val="653"/>
    <w:qFormat/>
    <w:pPr>
      <w:ind w:left="55"/>
      <w:spacing w:before="138"/>
    </w:pPr>
    <w:rPr>
      <w:rFonts w:ascii="Times New Roman" w:hAnsi="Times New Roman" w:eastAsia="Times New Roman"/>
      <w:b/>
      <w:sz w:val="40"/>
    </w:rPr>
  </w:style>
  <w:style w:type="paragraph" w:styleId="662">
    <w:name w:val="Body Text"/>
    <w:basedOn w:val="653"/>
    <w:qFormat/>
    <w:pPr>
      <w:tabs>
        <w:tab w:val="left" w:pos="5103" w:leader="none"/>
      </w:tabs>
    </w:pPr>
    <w:rPr>
      <w:b/>
      <w:color w:val="0000ff"/>
      <w:sz w:val="24"/>
    </w:rPr>
  </w:style>
  <w:style w:type="paragraph" w:styleId="663">
    <w:name w:val="List Paragraph"/>
    <w:basedOn w:val="653"/>
    <w:qFormat/>
    <w:pPr>
      <w:ind w:left="720"/>
      <w:spacing w:after="160" w:line="257" w:lineRule="auto"/>
    </w:pPr>
    <w:rPr>
      <w:sz w:val="24"/>
    </w:rPr>
  </w:style>
  <w:style w:type="paragraph" w:styleId="664">
    <w:name w:val="Body Text 2"/>
    <w:basedOn w:val="653"/>
    <w:qFormat/>
    <w:pPr>
      <w:jc w:val="both"/>
    </w:pPr>
    <w:rPr>
      <w:rFonts w:ascii="Times New Roman" w:hAnsi="Times New Roman" w:eastAsia="Times New Roman"/>
      <w:sz w:val="22"/>
    </w:rPr>
  </w:style>
  <w:style w:type="paragraph" w:styleId="665">
    <w:name w:val="Body Text 3"/>
    <w:basedOn w:val="653"/>
    <w:qFormat/>
    <w:rPr>
      <w:rFonts w:ascii="Times New Roman" w:hAnsi="Times New Roman" w:eastAsia="Times New Roman"/>
      <w:b/>
      <w:sz w:val="22"/>
    </w:rPr>
  </w:style>
  <w:style w:type="paragraph" w:styleId="666" w:customStyle="1">
    <w:name w:val="Détail"/>
    <w:basedOn w:val="653"/>
    <w:qFormat/>
  </w:style>
  <w:style w:type="paragraph" w:styleId="667" w:customStyle="1">
    <w:name w:val="Type de détail"/>
    <w:basedOn w:val="653"/>
    <w:next w:val="666"/>
    <w:qFormat/>
    <w:rPr>
      <w:b/>
      <w:u w:val="single"/>
    </w:rPr>
  </w:style>
  <w:style w:type="paragraph" w:styleId="668" w:customStyle="1">
    <w:name w:val="Titre arial 14 pts gras"/>
    <w:basedOn w:val="653"/>
    <w:qFormat/>
    <w:rPr>
      <w:b/>
      <w:sz w:val="28"/>
    </w:rPr>
  </w:style>
  <w:style w:type="paragraph" w:styleId="669" w:customStyle="1">
    <w:name w:val="Enumeration arial 10 pts"/>
    <w:basedOn w:val="653"/>
    <w:qFormat/>
    <w:pPr>
      <w:numPr>
        <w:numId w:val="1"/>
      </w:numPr>
    </w:pPr>
  </w:style>
  <w:style w:type="paragraph" w:styleId="670" w:customStyle="1">
    <w:name w:val="align droite 2cm"/>
    <w:basedOn w:val="653"/>
    <w:qFormat/>
  </w:style>
  <w:style w:type="paragraph" w:styleId="671" w:customStyle="1">
    <w:name w:val="Adresse"/>
    <w:basedOn w:val="653"/>
    <w:qFormat/>
    <w:pPr>
      <w:ind w:left="5103"/>
    </w:pPr>
  </w:style>
  <w:style w:type="paragraph" w:styleId="672" w:customStyle="1">
    <w:name w:val="trt0xe"/>
    <w:basedOn w:val="653"/>
    <w:qFormat/>
    <w:pPr>
      <w:spacing w:before="100" w:after="100"/>
    </w:pPr>
    <w:rPr>
      <w:rFonts w:ascii="Calibri" w:hAnsi="Calibri" w:eastAsia="Calibri"/>
      <w:sz w:val="22"/>
    </w:rPr>
  </w:style>
  <w:style w:type="character" w:styleId="673">
    <w:name w:val="Hyperlink"/>
    <w:qFormat/>
    <w:rPr>
      <w:color w:val="0000ff"/>
      <w:u w:val="single"/>
    </w:rPr>
  </w:style>
  <w:style w:type="paragraph" w:styleId="674" w:customStyle="1">
    <w:name w:val="Standard"/>
    <w:basedOn w:val="66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75" w:customStyle="1">
    <w:name w:val="Corps de texte"/>
    <w:basedOn w:val="674"/>
    <w:qFormat/>
    <w:pPr>
      <w:spacing w:after="120"/>
    </w:pPr>
  </w:style>
  <w:style w:type="character" w:styleId="676">
    <w:name w:val="Default Paragraph Font PHPDOCX"/>
    <w:uiPriority w:val="1"/>
    <w:semiHidden/>
    <w:unhideWhenUsed/>
  </w:style>
  <w:style w:type="paragraph" w:styleId="677">
    <w:name w:val="List Paragraph PHPDOCX"/>
    <w:basedOn w:val="653"/>
    <w:uiPriority w:val="34"/>
    <w:qFormat/>
    <w:pPr>
      <w:contextualSpacing/>
      <w:ind w:left="720"/>
    </w:pPr>
  </w:style>
  <w:style w:type="paragraph" w:styleId="678">
    <w:name w:val="Title PHPDOCX"/>
    <w:basedOn w:val="653"/>
    <w:next w:val="653"/>
    <w:link w:val="67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79" w:customStyle="1">
    <w:name w:val="Title Car PHPDOCX"/>
    <w:basedOn w:val="676"/>
    <w:link w:val="678"/>
    <w:uiPriority w:val="10"/>
    <w:rPr>
      <w:rFonts w:asciiTheme="majorHAnsi" w:hAnsiTheme="majorHAnsi" w:eastAsiaTheme="majorEastAsia" w:cstheme="majorBidi"/>
      <w:color w:val="17365d" w:themeColor="text2" w:themeShade="BF"/>
      <w:spacing w:val="5"/>
      <w:sz w:val="52"/>
      <w:szCs w:val="52"/>
    </w:rPr>
  </w:style>
  <w:style w:type="paragraph" w:styleId="680">
    <w:name w:val="Subtitle PHPDOCX"/>
    <w:basedOn w:val="653"/>
    <w:next w:val="653"/>
    <w:link w:val="68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1" w:customStyle="1">
    <w:name w:val="Subtitle Car PHPDOCX"/>
    <w:basedOn w:val="676"/>
    <w:link w:val="680"/>
    <w:uiPriority w:val="11"/>
    <w:rPr>
      <w:rFonts w:asciiTheme="majorHAnsi" w:hAnsiTheme="majorHAnsi" w:eastAsiaTheme="majorEastAsia" w:cstheme="majorBidi"/>
      <w:i/>
      <w:iCs/>
      <w:color w:val="4f81bd" w:themeColor="accent1"/>
      <w:spacing w:val="15"/>
      <w:sz w:val="24"/>
      <w:szCs w:val="24"/>
    </w:rPr>
  </w:style>
  <w:style w:type="table" w:styleId="68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4">
    <w:name w:val="annotation reference PHPDOCX"/>
    <w:basedOn w:val="676"/>
    <w:uiPriority w:val="99"/>
    <w:semiHidden/>
    <w:unhideWhenUsed/>
    <w:rPr>
      <w:sz w:val="16"/>
      <w:szCs w:val="16"/>
    </w:rPr>
  </w:style>
  <w:style w:type="paragraph" w:styleId="685">
    <w:name w:val="annotation text PHPDOCX"/>
    <w:basedOn w:val="653"/>
    <w:link w:val="686"/>
    <w:uiPriority w:val="99"/>
    <w:semiHidden/>
    <w:unhideWhenUsed/>
    <w:pPr>
      <w:spacing w:line="240" w:lineRule="auto"/>
    </w:pPr>
    <w:rPr>
      <w:sz w:val="20"/>
      <w:szCs w:val="20"/>
    </w:rPr>
  </w:style>
  <w:style w:type="character" w:styleId="686" w:customStyle="1">
    <w:name w:val="Comment Text Char PHPDOCX"/>
    <w:basedOn w:val="676"/>
    <w:link w:val="685"/>
    <w:uiPriority w:val="99"/>
    <w:semiHidden/>
    <w:rPr>
      <w:sz w:val="20"/>
      <w:szCs w:val="20"/>
    </w:rPr>
  </w:style>
  <w:style w:type="paragraph" w:styleId="687">
    <w:name w:val="annotation subject PHPDOCX"/>
    <w:basedOn w:val="685"/>
    <w:next w:val="685"/>
    <w:link w:val="688"/>
    <w:uiPriority w:val="99"/>
    <w:semiHidden/>
    <w:unhideWhenUsed/>
    <w:rPr>
      <w:b/>
      <w:bCs/>
    </w:rPr>
  </w:style>
  <w:style w:type="character" w:styleId="688" w:customStyle="1">
    <w:name w:val="Comment Subject Char PHPDOCX"/>
    <w:basedOn w:val="686"/>
    <w:link w:val="687"/>
    <w:uiPriority w:val="99"/>
    <w:semiHidden/>
    <w:rPr>
      <w:b/>
      <w:bCs/>
      <w:sz w:val="20"/>
      <w:szCs w:val="20"/>
    </w:rPr>
  </w:style>
  <w:style w:type="paragraph" w:styleId="689">
    <w:name w:val="Balloon Text PHPDOCX"/>
    <w:basedOn w:val="653"/>
    <w:link w:val="690"/>
    <w:uiPriority w:val="99"/>
    <w:semiHidden/>
    <w:unhideWhenUsed/>
    <w:pPr>
      <w:spacing w:after="0" w:line="240" w:lineRule="auto"/>
    </w:pPr>
    <w:rPr>
      <w:rFonts w:ascii="Tahoma" w:hAnsi="Tahoma" w:cs="Tahoma"/>
      <w:sz w:val="16"/>
      <w:szCs w:val="16"/>
    </w:rPr>
  </w:style>
  <w:style w:type="character" w:styleId="690" w:customStyle="1">
    <w:name w:val="Balloon Text Char PHPDOCX"/>
    <w:basedOn w:val="676"/>
    <w:link w:val="689"/>
    <w:uiPriority w:val="99"/>
    <w:semiHidden/>
    <w:rPr>
      <w:rFonts w:ascii="Tahoma" w:hAnsi="Tahoma" w:cs="Tahoma"/>
      <w:sz w:val="16"/>
      <w:szCs w:val="16"/>
    </w:rPr>
  </w:style>
  <w:style w:type="paragraph" w:styleId="691">
    <w:name w:val="footnote Text PHPDOCX"/>
    <w:basedOn w:val="653"/>
    <w:link w:val="692"/>
    <w:uiPriority w:val="99"/>
    <w:semiHidden/>
    <w:unhideWhenUsed/>
    <w:pPr>
      <w:spacing w:after="0" w:line="240" w:lineRule="auto"/>
    </w:pPr>
    <w:rPr>
      <w:sz w:val="20"/>
      <w:szCs w:val="20"/>
    </w:rPr>
  </w:style>
  <w:style w:type="character" w:styleId="692" w:customStyle="1">
    <w:name w:val="footnote Text Car PHPDOCX"/>
    <w:basedOn w:val="676"/>
    <w:link w:val="691"/>
    <w:uiPriority w:val="99"/>
    <w:semiHidden/>
    <w:rPr>
      <w:sz w:val="20"/>
      <w:szCs w:val="20"/>
    </w:rPr>
  </w:style>
  <w:style w:type="character" w:styleId="693">
    <w:name w:val="footnote Reference PHPDOCX"/>
    <w:basedOn w:val="676"/>
    <w:uiPriority w:val="99"/>
    <w:semiHidden/>
    <w:unhideWhenUsed/>
    <w:rPr>
      <w:vertAlign w:val="superscript"/>
    </w:rPr>
  </w:style>
  <w:style w:type="paragraph" w:styleId="694">
    <w:name w:val="endnote Text PHPDOCX"/>
    <w:basedOn w:val="653"/>
    <w:link w:val="695"/>
    <w:uiPriority w:val="99"/>
    <w:semiHidden/>
    <w:unhideWhenUsed/>
    <w:pPr>
      <w:spacing w:after="0" w:line="240" w:lineRule="auto"/>
    </w:pPr>
    <w:rPr>
      <w:sz w:val="20"/>
      <w:szCs w:val="20"/>
    </w:rPr>
  </w:style>
  <w:style w:type="character" w:styleId="695" w:customStyle="1">
    <w:name w:val="endnote Text Car PHPDOCX"/>
    <w:basedOn w:val="676"/>
    <w:link w:val="694"/>
    <w:uiPriority w:val="99"/>
    <w:semiHidden/>
    <w:rPr>
      <w:sz w:val="20"/>
      <w:szCs w:val="20"/>
    </w:rPr>
  </w:style>
  <w:style w:type="character" w:styleId="696">
    <w:name w:val="endnote Reference PHPDOCX"/>
    <w:basedOn w:val="67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mailto:mperigord@wanadoo.fr" TargetMode="External"/><Relationship Id="rId25" Type="http://schemas.openxmlformats.org/officeDocument/2006/relationships/hyperlink" Target="http://www.maisons-en-perigord.com/" TargetMode="External"/><Relationship Id="rId26"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monslu</cp:lastModifiedBy>
  <cp:revision>34</cp:revision>
  <dcterms:created xsi:type="dcterms:W3CDTF">2023-09-29T11:02:00Z</dcterms:created>
  <dcterms:modified xsi:type="dcterms:W3CDTF">2023-11-21T09:40:42Z</dcterms:modified>
</cp:coreProperties>
</file>