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0810p6022438bbm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0810p6022438bbmjd.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MP113676</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164 300 €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Sur le quai de Montignac, immeuble en pierre faisant face à la Vézère, développant près de 200 m² de surface. Boutique en rdc. Beaucoup de possibilités.</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Situé en plein centre-ville, sur le quai, façade au Sud, Immeuble en pierre s'élevant sur 4 niveaux et développant près de 200 m² de surfa</w:t>
      </w:r>
      <w:r>
        <w:rPr>
          <w:rFonts w:ascii="Century Gothic" w:hAnsi="Century Gothic" w:eastAsia="Century Gothic"/>
          <w:sz w:val="32"/>
        </w:rPr>
        <w:t xml:space="preserve">ce. On trouve une boutique bien placée au rez-de-chaussée, et dans les étages, de belles pièces, très lumineuses pour celles orientées côté Vézère, d'où on profite d'une très jolie vue sur la rivière et dans lesquelles on trouve de beaux éléments anciens. </w:t>
      </w:r>
      <w:r>
        <w:rPr>
          <w:rFonts w:ascii="Century Gothic" w:hAnsi="Century Gothic" w:eastAsia="Century Gothic"/>
          <w:sz w:val="32"/>
        </w:rPr>
        <w:t xml:space="preserve">Cet "immeuble-maison" laisse entrevoir de nombreuses possibilités: on peut l'habiter, le louer, le diviser, ouvrir un commerce,...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0810p6022691vpfj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691vpfjv.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0810p6022689ic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689ictva.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0810p6022448dqb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8dqbev.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0810p6022439saw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39sawcf.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0810p6022441lcb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1lcbax.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0810p6022440itb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0itbfk.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Ancienne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Aucune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A rafraîchir</w:t>
            </w:r>
            <w:r/>
          </w:p>
          <w:p>
            <w:pPr>
              <w:pStyle w:val="729"/>
              <w:numPr>
                <w:ilvl w:val="0"/>
                <w:numId w:val="0"/>
              </w:numPr>
              <w:ind w:right="283"/>
              <w:spacing w:before="0" w:after="0"/>
              <w:rPr>
                <w:lang w:val="fr-FR"/>
              </w:rPr>
            </w:pPr>
            <w:r>
              <w:rPr>
                <w:lang w:val="fr-FR"/>
              </w:rPr>
              <w:br/>
              <w:br/>
              <w:t xml:space="preserve">Surf. hab:  190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Séjour:  30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Hameau / Village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3 chambres</w:t>
            </w:r>
            <w:r/>
          </w:p>
          <w:p>
            <w:pPr>
              <w:pStyle w:val="729"/>
              <w:numPr>
                <w:ilvl w:val="0"/>
                <w:numId w:val="0"/>
              </w:numPr>
              <w:ind w:right="283"/>
              <w:spacing w:before="0" w:after="0"/>
              <w:rPr>
                <w:lang w:val="fr-FR"/>
              </w:rPr>
            </w:pPr>
            <w:r>
              <w:rPr>
                <w:lang w:val="fr-FR"/>
              </w:rPr>
              <w:br/>
              <w:br/>
              <w:t xml:space="preserve">1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7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Gaz de ville</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SITUATION DU BIEN:</w:t>
              <w:br/>
              <w:t xml:space="preserve"> - Village </w:t>
              <w:br/>
              <w:br/>
              <w:t xml:space="preserve">REZ DE CHAUSSÉE:</w:t>
              <w:br/>
              <w:t xml:space="preserve"> - Cave </w:t>
              <w:br/>
              <w:t xml:space="preserve"> - Pièce Boutique d'environ 25 m².</w:t>
              <w:br/>
              <w:br/>
              <w:t xml:space="preserve">1ER ÉTAGE:</w:t>
              <w:br/>
              <w:t xml:space="preserve"> - Cuisine de 25 m².</w:t>
              <w:br/>
              <w:t xml:space="preserve"> - Palier de 6 m².</w:t>
              <w:br/>
              <w:t xml:space="preserve"> - Salon de 28 m² avec balcon.</w:t>
              <w:br/>
              <w:t xml:space="preserve"> - WC </w:t>
              <w:br/>
              <w:br/>
              <w:t xml:space="preserve">2ÈME É</w:t>
            </w:r>
            <w:r>
              <w:t xml:space="preserve">TAGE:</w:t>
              <w:br/>
              <w:t xml:space="preserve"> - Chambre de 25 m² avec une très belle vue.</w:t>
              <w:br/>
              <w:t xml:space="preserve"> - Salon de 25 m² avec cheminée.</w:t>
              <w:br/>
              <w:br/>
              <w:t xml:space="preserve">3ÈME ÉTAGE:</w:t>
              <w:br/>
              <w:t xml:space="preserve"> - 2 Chambres mansardées de 25 et 18 m² au sol.</w:t>
              <w:br/>
              <w:br/>
              <w:t xml:space="preserve">DPE:</w:t>
              <w:br/>
              <w:t xml:space="preserve"> - Consommation énergétique (en énergie primaire):</w:t>
              <w:br/>
              <w:t xml:space="preserve"> - Emission de gaz à effet de serre:</w:t>
              <w:br/>
              <w:t xml:space="preserve"> - DPE en cours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CHAUFFAGE:</w:t>
              <w:br/>
              <w:t xml:space="preserve"> - CC Gaz de ville.</w:t>
              <w:br/>
              <w:br/>
              <w:t xml:space="preserve">EQUIP</w:t>
            </w:r>
            <w:r>
              <w:t xml:space="preserve">EMENTS DIVERS:</w:t>
              <w:br/>
              <w:t xml:space="preserve"> - Double vitrage partiel.</w:t>
              <w:br/>
              <w:t xml:space="preserve"> - Tout à l'égout </w:t>
              <w:br/>
              <w:t xml:space="preserve"> - Gaz de ville </w:t>
              <w:br/>
              <w:br/>
              <w:t xml:space="preserve">SERVICES:</w:t>
              <w:br/>
              <w:t xml:space="preserve"> - Aéroport 45 mn.</w:t>
              <w:br/>
              <w:t xml:space="preserve"> - Autoroute 15 mn.</w:t>
              <w:br/>
              <w:t xml:space="preserve"> - Commerces </w:t>
              <w:br/>
              <w:t xml:space="preserve"> - Ecole </w:t>
              <w:br/>
              <w:t xml:space="preserve"> - Gare 10 mn.</w:t>
              <w:br/>
              <w:t xml:space="preserve"> - Hôpital 30 mn.</w:t>
              <w:br/>
              <w:t xml:space="preserve"> - Internet / ADSL </w:t>
              <w:br/>
              <w:t xml:space="preserve"> - Vue sur la vézère.</w:t>
              <w:br/>
              <w:br/>
              <w:t xml:space="preserve">OPTIONS WEB:</w:t>
              <w:br/>
              <w:t xml:space="preserve"> - Défilement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790700"/>
                      <wp:effectExtent l="0" t="0" r="0" b="0"/>
                      <wp:docPr id="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22"/>
                              <a:stretch/>
                            </pic:blipFill>
                            <pic:spPr bwMode="auto">
                              <a:xfrm>
                                <a:off x="0" y="0"/>
                                <a:ext cx="1962150" cy="1790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54.5pt;height:141.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800225"/>
                      <wp:effectExtent l="0" t="0" r="0" b="0"/>
                      <wp:docPr id="1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23"/>
                              <a:stretch/>
                            </pic:blipFill>
                            <pic:spPr bwMode="auto">
                              <a:xfrm>
                                <a:off x="0" y="0"/>
                                <a:ext cx="1962150" cy="18002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54.5pt;height:141.8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2024-05-23T13:12:21Z</dcterms:modified>
</cp:coreProperties>
</file>