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THENON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699p6051540ctc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699p6051540ctcer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MP113749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498 000 € 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Superbe ensemble typique, "dans son jus", sur plus d'un hectare. Situation calme mais non isolée. Nombreuses possibilités d'aménagement.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Certainement une des plus belles propriétés qui nous ait été confiée à la vente.</w:t>
        <w:br/>
        <w:t xml:space="preserve">Cet ensemble chargé d'histoire, datant pour ses constructions les plus anciennes du 16ème siècle, s'inscrit sur un grand terrain clos de plus d</w:t>
      </w:r>
      <w:r>
        <w:rPr>
          <w:rFonts w:ascii="Century Gothic" w:hAnsi="Century Gothic" w:eastAsia="Century Gothic"/>
          <w:sz w:val="32"/>
        </w:rPr>
        <w:t xml:space="preserve">e 1,3 ha avec porche d'entrée, mur d'enceinte et arbres centenaires. Implantée à l'orée d'un hameau très calme et typique, cette propriété comprend la demeure du 17ème siècle, l'ancienne maison du 16ème siècle à rénover avec ses fenêtres à meneaux,  un pig</w:t>
      </w:r>
      <w:r>
        <w:rPr>
          <w:rFonts w:ascii="Century Gothic" w:hAnsi="Century Gothic" w:eastAsia="Century Gothic"/>
          <w:sz w:val="32"/>
        </w:rPr>
        <w:t xml:space="preserve">eonnier du 17ème siècle, ainsi que deux belles granges.</w:t>
        <w:br/>
        <w:t xml:space="preserve">La maison de maître est habitable mais méritera des travaux de modernisation. Entièrement construite sur caves, on y habite actuellement de plain pied, avec une belle enfilade de pièces, dont un petit</w:t>
      </w:r>
      <w:r>
        <w:rPr>
          <w:rFonts w:ascii="Century Gothic" w:hAnsi="Century Gothic" w:eastAsia="Century Gothic"/>
          <w:sz w:val="32"/>
        </w:rPr>
        <w:t xml:space="preserve"> salon orné de stucs. L'immense grenier est entièrement aménageable.</w:t>
        <w:br/>
        <w:t xml:space="preserve">En résumé, il s'agit là d'un très beau lieu avec de magnifiques constructions permettant de nombreux aménagements.</w:t>
        <w:br/>
        <w:t xml:space="preserve">A noter: le propriétaire-vendeur occupera les lieux jusqu'à l'automne 20</w:t>
      </w:r>
      <w:r>
        <w:rPr>
          <w:rFonts w:ascii="Century Gothic" w:hAnsi="Century Gothic" w:eastAsia="Century Gothic"/>
          <w:sz w:val="32"/>
        </w:rPr>
        <w:t xml:space="preserve">25, mais rien n'empêchera de préparer et de programmer des phases de travaux et d'en discuter avec le meilleur des interlocuteurs!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699p6051544mbql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99p6051544mbql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699p6051548dtzm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99p6051548dtzmz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699p6051550rqnh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99p6051550rqnhg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1699p6051545hbqx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99p6051545hbqx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1699p6051567eowp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99p6051567eowpn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1699p6051554nhgb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699p6051554nhgbw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200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13,379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47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  <w:br/>
              <w:br/>
              <w:t xml:space="preserve">Exposition:  Est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6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garages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>
              <w:br/>
              <w:br/>
              <w:t xml:space="preserve">1 parking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Bois et Fuel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t xml:space="preserve"> - Campagne non isolée </w:t>
            </w:r>
            <w:r>
              <w:br/>
              <w:br/>
              <w:t xml:space="preserve">REZ DE CHAUSSÉE:</w:t>
              <w:br/>
              <w:t xml:space="preserve"> - Cave sous l'ensemble de la maison sur cave, environ 180 m².</w:t>
              <w:br/>
              <w:t xml:space="preserve"> - 3 Chambres de 25 m², 20 m² avec une cheminée, et 35 m².</w:t>
              <w:br/>
              <w:t xml:space="preserve"> - Cuisine de 27 m² avec une magnifique cheminée en pierre équipée d'un poêle à bois. </w:t>
              <w:br/>
              <w:t xml:space="preserve"> - Dégagement </w:t>
              <w:br/>
              <w:t xml:space="preserve"> - Garage de </w:t>
            </w:r>
            <w:r>
              <w:t xml:space="preserve">32.5 m²</w:t>
              <w:br/>
              <w:t xml:space="preserve"> - Hall d'entrée avec couloir de 17 m².</w:t>
              <w:br/>
              <w:t xml:space="preserve"> - Salon de 47 m² avec une cheminée à foyer ouvert.</w:t>
              <w:br/>
              <w:t xml:space="preserve"> - Salle à manger de 21 m².</w:t>
              <w:br/>
              <w:t xml:space="preserve"> - 2 Salles d'eau de 4 et 2 m².</w:t>
              <w:br/>
              <w:t xml:space="preserve"> - 2 WC avec rinces mains.</w:t>
              <w:br/>
              <w:br/>
              <w:t xml:space="preserve">1ER ÉTAGE:</w:t>
              <w:br/>
              <w:t xml:space="preserve"> - Grenier sur la totalité de la maison, environ 200 m².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DÉPENDANCES:</w:t>
              <w:br/>
              <w:t xml:space="preserve"> - Etable  à vaches de 120 m² au sol sur deux niveaux toiture en ardoise.</w:t>
              <w:br/>
              <w:t xml:space="preserve"> - Four à pain de 80 m² sur deux niveaux avec une cave de 40 m².</w:t>
              <w:br/>
              <w:t xml:space="preserve"> - Grange d</w:t>
            </w:r>
            <w:r>
              <w:t xml:space="preserve">e 87 m² avec un grenier.</w:t>
              <w:br/>
              <w:t xml:space="preserve"> - Grangette de 14 m².</w:t>
              <w:br/>
              <w:t xml:space="preserve"> - Pigeonnier </w:t>
              <w:br/>
              <w:t xml:space="preserve"> - Autres /soue à cochons de 13 m².</w:t>
              <w:br/>
              <w:br/>
              <w:t xml:space="preserve">DPE:</w:t>
              <w:br/>
              <w:t xml:space="preserve"> - Consommation énergétique (en énergie primaire): 296 KWHep/m²an</w:t>
              <w:br/>
              <w:t xml:space="preserve"> - Emission de gaz à effet de serre: 57 Kgco2/m²an</w:t>
              <w:br/>
              <w:br/>
              <w:t xml:space="preserve">CHAUFFAGE:</w:t>
              <w:br/>
              <w:t xml:space="preserve"> - bois </w:t>
              <w:br/>
              <w:t xml:space="preserve"> - CC Fuel </w:t>
              <w:br/>
              <w:br/>
            </w:r>
            <w:r>
              <w:t xml:space="preserve">EQUIPEMENTS DIVERS:</w:t>
              <w:br/>
              <w:t xml:space="preserve"> - Fosse septique </w:t>
              <w:br/>
              <w:br/>
              <w:t xml:space="preserve">SERVICES:</w:t>
              <w:br/>
              <w:t xml:space="preserve"> - Aéroport 40 mn.</w:t>
              <w:br/>
              <w:t xml:space="preserve"> - Autoroute 15 mn.</w:t>
              <w:br/>
              <w:t xml:space="preserve"> - Calme </w:t>
              <w:br/>
              <w:t xml:space="preserve"> - Commerces 5 mn.</w:t>
              <w:br/>
              <w:t xml:space="preserve"> - Dépendance </w:t>
              <w:br/>
              <w:t xml:space="preserve"> - Ecole 5 mn.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296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57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E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F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1 500 €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Alexandre BOISHARDY </w:t>
      </w:r>
      <w:r>
        <w:rPr>
          <w:rFonts w:ascii="Century Gothic" w:hAnsi="Century Gothic" w:eastAsia="Century Gothic"/>
          <w:b/>
          <w:color w:val="000000"/>
          <w:lang w:val="fr-FR"/>
        </w:rPr>
      </w:r>
    </w:p>
    <w:p>
      <w:pPr>
        <w:pStyle w:val="72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Email : </w:t>
      </w:r>
      <w:r>
        <w:rPr>
          <w:rFonts w:ascii="Century Gothic" w:hAnsi="Century Gothic" w:eastAsia="Century Gothic"/>
          <w:color w:val="0070c0"/>
          <w:lang w:val="fr-FR"/>
        </w:rPr>
        <w:t xml:space="preserve">boishardyalex@gmail.com</w:t>
      </w:r>
      <w:r>
        <w:rPr>
          <w:rFonts w:ascii="Century Gothic" w:hAnsi="Century Gothic" w:eastAsia="Century Gothic"/>
          <w:color w:val="000000"/>
          <w:lang w:val="fr-FR"/>
        </w:rPr>
        <w:t xml:space="preserve"> </w:t>
      </w:r>
      <w:r>
        <w:rPr>
          <w:rFonts w:ascii="Century Gothic" w:hAnsi="Century Gothic" w:eastAsia="Century Gothic"/>
          <w:b/>
          <w:bCs/>
          <w:color w:val="000000"/>
          <w:lang w:val="fr-FR"/>
        </w:rPr>
      </w:r>
    </w:p>
    <w:p>
      <w:pPr>
        <w:pStyle w:val="722"/>
        <w:rPr>
          <w:rFonts w:ascii="Century Gothic" w:hAnsi="Century Gothic" w:eastAsia="Century Gothic"/>
          <w:b/>
          <w:bCs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2024-07-30T06:52:11Z</dcterms:modified>
</cp:coreProperties>
</file>