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1887p565eae893ae3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1887p565eae893ae379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MP113760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68 900 €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En Périgord Noir, près d'un petit village et à 10 mns de MONTIGNAC-LASCAUX terrain constructible de 4264 m².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En Périgord Noir, près d'un petit village et à 10 mns de MONTIGNAC-LASCAUX terrain constructible de 4264 m².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1887p265eae8921c6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87p265eae8921c64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1887p365eae892a317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87p365eae892a317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1887p465eae8932d8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887p465eae8932d89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688"/>
            </w:pPr>
            <w:r>
              <w:t xml:space="preserve">Caractéristiques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Terrain Constructible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Non précisé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4,264 m²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688"/>
            </w:pPr>
            <w:r>
              <w:t xml:space="preserve">Détails</w:t>
            </w:r>
            <w:r>
              <w:t xml:space="preserve"> </w:t>
            </w:r>
            <w:r>
              <w:t xml:space="preserve">complémentaires: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2"/>
              </w:numPr>
              <w:ind w:right="283"/>
            </w:pPr>
            <w:r>
              <w:t xml:space="preserve">DPE: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2"/>
              </w:numPr>
              <w:ind w:right="283"/>
            </w:pPr>
            <w:r/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pStyle w:val="68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68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dossier</w:t>
      </w:r>
      <w:r>
        <w:rPr>
          <w:rFonts w:ascii="Century Gothic" w:hAnsi="Century Gothic" w:eastAsia="Century Gothic"/>
          <w:color w:val="000000"/>
          <w:lang w:val="fr-FR"/>
        </w:rPr>
        <w:t xml:space="preserve">: Monsieur Alexandre BOISHARDY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</w:p>
    <w:p>
      <w:pPr>
        <w:pStyle w:val="68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68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68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670048" cy="1088298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01104" cy="11009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10.2pt;height:85.7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68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6"/>
    <w:uiPriority w:val="99"/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rPr>
      <w:lang w:val="fr-FR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683">
    <w:name w:val="Table Grid"/>
    <w:basedOn w:val="68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4">
    <w:name w:val="Header"/>
    <w:basedOn w:val="678"/>
    <w:link w:val="68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685" w:customStyle="1">
    <w:name w:val="Header Char"/>
    <w:basedOn w:val="679"/>
    <w:link w:val="684"/>
    <w:uiPriority w:val="99"/>
    <w:rPr>
      <w:lang w:val="fr-FR"/>
    </w:rPr>
  </w:style>
  <w:style w:type="paragraph" w:styleId="686">
    <w:name w:val="Footer"/>
    <w:basedOn w:val="678"/>
    <w:link w:val="68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687" w:customStyle="1">
    <w:name w:val="Footer Char"/>
    <w:basedOn w:val="679"/>
    <w:link w:val="686"/>
    <w:uiPriority w:val="99"/>
    <w:rPr>
      <w:lang w:val="fr-FR"/>
    </w:rPr>
  </w:style>
  <w:style w:type="paragraph" w:styleId="688" w:customStyle="1">
    <w:name w:val="titre tableau"/>
    <w:basedOn w:val="67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689" w:customStyle="1">
    <w:name w:val="Détail"/>
    <w:basedOn w:val="67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690">
    <w:name w:val="Balloon Text"/>
    <w:basedOn w:val="678"/>
    <w:link w:val="6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Balloon Text Char"/>
    <w:basedOn w:val="679"/>
    <w:link w:val="69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8"/>
    <w:uiPriority w:val="34"/>
    <w:qFormat/>
    <w:pPr>
      <w:contextualSpacing/>
      <w:ind w:left="720"/>
    </w:pPr>
  </w:style>
  <w:style w:type="paragraph" w:styleId="694">
    <w:name w:val="Title PHPDOCX"/>
    <w:basedOn w:val="678"/>
    <w:next w:val="678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8"/>
    <w:next w:val="678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8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8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8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8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47</cp:revision>
  <dcterms:created xsi:type="dcterms:W3CDTF">2023-10-02T06:54:00Z</dcterms:created>
  <dcterms:modified xsi:type="dcterms:W3CDTF">2024-03-08T10:44:55Z</dcterms:modified>
</cp:coreProperties>
</file>