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98"/>
        <w:tblW w:w="0" w:type="auto"/>
        <w:jc w:val="center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7856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856" w:type="dxa"/>
            <w:vAlign w:val="center"/>
            <w:textDirection w:val="lrTb"/>
            <w:noWrap w:val="false"/>
          </w:tcPr>
          <w:p>
            <w:pPr>
              <w:pStyle w:val="897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SALIGNAC-EYVIGUES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04652" cy="4254359"/>
                <wp:effectExtent l="0" t="0" r="0" b="0"/>
                <wp:docPr id="2" name="Picture 1" descr="https://gildc.activimmo.ovh/pic/615x415/06gildc6502564p6052879tmq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564p6052879tmqge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6304652" cy="4254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6.4pt;height:335.0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897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eastAsia="Century Gothic" w:cs="Times New Roman"/>
          <w:sz w:val="36"/>
        </w:rPr>
      </w:r>
      <w:r>
        <w:rPr>
          <w:rFonts w:ascii="Times New Roman" w:hAnsi="Times New Roman" w:cs="Times New Roman"/>
        </w:rPr>
      </w:r>
    </w:p>
    <w:p>
      <w:pPr>
        <w:pStyle w:val="897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eastAsia="Century Gothic" w:cs="Times New Roman"/>
          <w:b/>
          <w:bCs/>
          <w:sz w:val="36"/>
          <w:lang w:val="fr-FR"/>
        </w:rPr>
        <w:t xml:space="preserve">Réf:  MP113824</w:t>
      </w:r>
      <w:r>
        <w:rPr>
          <w:rFonts w:ascii="Times New Roman" w:hAnsi="Times New Roman" w:cs="Times New Roman"/>
          <w:b/>
          <w:bCs/>
        </w:rPr>
      </w:r>
    </w:p>
    <w:p>
      <w:pPr>
        <w:pStyle w:val="897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897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Times New Roman" w:hAnsi="Times New Roman" w:eastAsia="Century Gothic" w:cs="Times New Roman"/>
          <w:b w:val="0"/>
          <w:bCs w:val="0"/>
          <w:sz w:val="32"/>
          <w:szCs w:val="32"/>
          <w:lang w:val="fr-FR"/>
        </w:rPr>
        <w:t xml:space="preserve">492 900 € </w:t>
      </w:r>
      <w:r>
        <w:rPr>
          <w:rFonts w:ascii="Times New Roman" w:hAnsi="Times New Roman" w:eastAsia="Century Gothic" w:cs="Times New Roman"/>
          <w:b w:val="0"/>
          <w:bCs w:val="0"/>
          <w:sz w:val="32"/>
          <w:szCs w:val="32"/>
          <w:lang w:val="fr-FR"/>
        </w:rPr>
        <w:t xml:space="preserve">honoraires inclus à la charge de l'acheteur.</w:t>
      </w:r>
      <w:r/>
    </w:p>
    <w:p>
      <w:pPr>
        <w:pStyle w:val="897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897"/>
        <w:jc w:val="center"/>
        <w:rPr>
          <w:rFonts w:ascii="Century Gothic" w:hAnsi="Century Gothic" w:eastAsia="Century Gothic"/>
          <w:sz w:val="36"/>
        </w:rPr>
      </w:pPr>
      <w:r>
        <w:rPr>
          <w:rFonts w:ascii="Times New Roman" w:hAnsi="Times New Roman" w:eastAsia="Century Gothic" w:cs="Times New Roman"/>
          <w:sz w:val="32"/>
        </w:rPr>
        <w:t xml:space="preserve">Propriété sur plus d'un hectare avec grande maison de plain pied confortable avec piscine et un fantastique atelier.</w:t>
      </w:r>
      <w:r/>
    </w:p>
    <w:p>
      <w:pPr>
        <w:pStyle w:val="897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ind w:firstLine="720"/>
        <w:jc w:val="left"/>
        <w:rPr>
          <w:rFonts w:ascii="Times New Roman" w:hAnsi="Times New Roman" w:eastAsia="Century Gothic" w:cs="Times New Roman"/>
          <w:sz w:val="32"/>
          <w:szCs w:val="32"/>
          <w:highlight w:val="none"/>
        </w:rPr>
      </w:pPr>
      <w:r>
        <w:rPr>
          <w:rFonts w:ascii="Times New Roman" w:hAnsi="Times New Roman" w:eastAsia="Century Gothic" w:cs="Times New Roman"/>
          <w:sz w:val="32"/>
        </w:rPr>
        <w:t xml:space="preserve">En Périgord Noir, entr</w:t>
      </w:r>
      <w:r>
        <w:rPr>
          <w:rFonts w:ascii="Times New Roman" w:hAnsi="Times New Roman" w:eastAsia="Century Gothic" w:cs="Times New Roman"/>
          <w:sz w:val="32"/>
        </w:rPr>
        <w:t xml:space="preserve">e Sarlat, Brive et Terrasson, dans un environnement de chênes, sur un terrain plat et clos, cette propriété comprend une grande maison de plain-pied très confortable avec des aménagements modernes ( isolations, panneaux solaires...) qui offre environ 200 m</w:t>
      </w:r>
      <w:r>
        <w:rPr>
          <w:rFonts w:ascii="Times New Roman" w:hAnsi="Times New Roman" w:eastAsia="Century Gothic" w:cs="Times New Roman"/>
          <w:sz w:val="32"/>
        </w:rPr>
        <w:t xml:space="preserve">² au sol dont une superbe pièce à vivre de 115 m², 4 chambres, 2 salles de bain....et un grand bureau à l'étage de 60 m². Sur le côté de la maison, vous trouverez une grande piscine de 15x6 au sel avec un liner récent. A l'entrée de la propriété, à environ</w:t>
      </w:r>
      <w:r>
        <w:rPr>
          <w:rFonts w:ascii="Times New Roman" w:hAnsi="Times New Roman" w:eastAsia="Century Gothic" w:cs="Times New Roman"/>
          <w:sz w:val="32"/>
        </w:rPr>
        <w:t xml:space="preserve"> 50 mètres de la maison, le rêve de tout bricoleur: un fantastique atelier d'environ 145 m² avec des sanitaires et ancien bureau. </w:t>
      </w:r>
      <w:r>
        <w:rPr>
          <w:rFonts w:ascii="Times New Roman" w:hAnsi="Times New Roman" w:eastAsia="Century Gothic" w:cs="Times New Roman"/>
          <w:sz w:val="32"/>
        </w:rPr>
      </w:r>
    </w:p>
    <w:p>
      <w:pPr>
        <w:ind w:firstLine="72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2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Century Gothic" w:cs="Times New Roman"/>
          <w:sz w:val="32"/>
          <w:highlight w:val="none"/>
        </w:rPr>
      </w:r>
      <w:r>
        <w:rPr>
          <w:rFonts w:ascii="Times New Roman" w:hAnsi="Times New Roman" w:eastAsia="Century Gothic" w:cs="Times New Roman"/>
          <w:sz w:val="32"/>
          <w:highlight w:val="none"/>
        </w:rPr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Century Gothic" w:cs="Times New Roman"/>
          <w:b w:val="0"/>
          <w:bCs w:val="0"/>
          <w:sz w:val="24"/>
          <w:szCs w:val="24"/>
        </w:rPr>
        <w:br/>
        <w:t xml:space="preserve">Les informations sur les risques auxquels ce bien est exposé sont disponibles sur le site Géorisques: www.georisques.gouv.fr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564p6052895rihi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64p6052895rihiw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564p6052852qmhz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64p6052852qmhz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564p6052888txgf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64p6052888txgf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564p6052874tdgf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64p6052874tdgfh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564p6052873ghle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64p6052873ghleh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564p6052866qppj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64p6052866qppjo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897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903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Buanderie de 11 m².</w:t>
              <w:br/>
              <w:t xml:space="preserve"> - 4 Chambres 13, 13, 12 et 11 m²</w:t>
            </w:r>
            <w:r>
              <w:t xml:space="preserve">.</w:t>
              <w:br/>
              <w:t xml:space="preserve"> - Hall d'entrée de 9 m².</w:t>
              <w:br/>
              <w:t xml:space="preserve"> - Pièce à vivre de 115 m² avec cuisine ouverte de 15 m². Poele dans le salon.</w:t>
              <w:br/>
              <w:t xml:space="preserve"> - Salle de bains de 10 m² environ avec douche et baignoire.</w:t>
              <w:br/>
              <w:t xml:space="preserve"> - Salle d'eau de 4,5 m² environ.</w:t>
              <w:br/>
              <w:t xml:space="preserve"> - WC </w:t>
              <w:br/>
              <w:br/>
              <w:t xml:space="preserve">1ER ÉTAGE:</w:t>
              <w:br/>
              <w:t xml:space="preserve"> - Pièce de 66 m².</w:t>
              <w:br/>
              <w:br/>
              <w:t xml:space="preserve">DÉPENDANCES:</w:t>
              <w:br/>
              <w:t xml:space="preserve"> -</w:t>
            </w:r>
            <w:r>
              <w:t xml:space="preserve"> Atelier /atelier de 145 m² avec 3 bureaux et auvents de 51 et 60 m².</w:t>
              <w:br/>
              <w:t xml:space="preserve"> - Autres Poulailler et serre.</w:t>
              <w:br/>
              <w:br/>
              <w:t xml:space="preserve">DPE:</w:t>
              <w:br/>
              <w:t xml:space="preserve"> - Consommation énergétique (en énergie primaire):</w:t>
              <w:br/>
              <w:t xml:space="preserve"> - DPE en cours </w:t>
              <w:br/>
              <w:br/>
              <w:t xml:space="preserve">CHAUFFAGE:</w:t>
              <w:br/>
              <w:t xml:space="preserve"> - bois /poêle à bois.</w:t>
              <w:br/>
              <w:t xml:space="preserve"> - Pompe à chaleur /climatisation réversible.</w:t>
              <w:br/>
            </w:r>
            <w:r/>
          </w:p>
          <w:p>
            <w:pPr>
              <w:pStyle w:val="904"/>
              <w:numPr>
                <w:ilvl w:val="0"/>
                <w:numId w:val="2"/>
              </w:numPr>
              <w:ind w:right="283"/>
            </w:pPr>
            <w:r>
              <w:rPr>
                <w:highlight w:val="none"/>
              </w:rPr>
              <w:t xml:space="preserve">Taxe foncière: 1074 €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2"/>
              </w:numPr>
              <w:ind w:right="283"/>
            </w:pPr>
            <w:r>
              <w:t xml:space="preserve">EQUIPEMENTS DIVERS:</w:t>
              <w:br/>
              <w:t xml:space="preserve"> - Adoucisseur d'eau </w:t>
              <w:br/>
              <w:t xml:space="preserve"> - Double vitrage </w:t>
              <w:br/>
              <w:t xml:space="preserve"> - Fosse septique </w:t>
              <w:br/>
              <w:t xml:space="preserve"> - Insert </w:t>
              <w:br/>
              <w:t xml:space="preserve"> - Placard </w:t>
              <w:br/>
              <w:t xml:space="preserve"> - Panneaux solaires</w:t>
            </w:r>
            <w:r/>
          </w:p>
          <w:p>
            <w:pPr>
              <w:pStyle w:val="904"/>
              <w:numPr>
                <w:ilvl w:val="0"/>
                <w:numId w:val="2"/>
              </w:numPr>
              <w:ind w:right="283"/>
            </w:pPr>
            <w:r>
              <w:rPr>
                <w:highlight w:val="none"/>
              </w:rPr>
              <w:t xml:space="preserve">Fibre optique</w:t>
            </w:r>
            <w:r>
              <w:rPr>
                <w:highlight w:val="none"/>
              </w:rPr>
            </w:r>
          </w:p>
          <w:p>
            <w:pPr>
              <w:pStyle w:val="904"/>
              <w:numPr>
                <w:ilvl w:val="0"/>
                <w:numId w:val="0"/>
              </w:numPr>
              <w:ind w:left="360" w:right="283" w:firstLine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br/>
              <w:br/>
              <w:t xml:space="preserve">SERVICES:</w:t>
              <w:br/>
              <w:t xml:space="preserve"> - Aéroport 35 mn environ.</w:t>
              <w:br/>
              <w:t xml:space="preserve"> - Autoroute 20 mn.</w:t>
              <w:br/>
              <w:t xml:space="preserve"> - Ca</w:t>
            </w:r>
            <w:r>
              <w:t xml:space="preserve">lme </w:t>
              <w:br/>
              <w:t xml:space="preserve"> - Commerces 5 mn.</w:t>
              <w:br/>
              <w:t xml:space="preserve"> - Dépendance </w:t>
              <w:br/>
              <w:t xml:space="preserve"> - Ecole 5 mn.</w:t>
              <w:br/>
              <w:t xml:space="preserve"> - Gare 15 mn.</w:t>
              <w:br/>
              <w:t xml:space="preserve"> - Hôpital 20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t xml:space="preserve"> - Internet fibre optique. </w:t>
              <w:br/>
              <w:br/>
              <w:t xml:space="preserve">TERRAIN:</w:t>
              <w:br/>
              <w:t xml:space="preserve"> - Piscine de 12x6 au sel, non chauffée.</w:t>
              <w:br/>
              <w:br/>
              <w:t xml:space="preserve">VUE:</w:t>
              <w:br/>
              <w:t xml:space="preserve"> - Dégagée </w:t>
              <w:br/>
              <w:br/>
              <w:t xml:space="preserve">OPTIONS WEB:</w:t>
              <w:br/>
              <w:t xml:space="preserve"> - Défilement </w:t>
              <w:br/>
            </w:r>
            <w:r/>
            <w:r/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903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790700"/>
                      <wp:effectExtent l="0" t="0" r="0" b="0"/>
                      <wp:docPr id="9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790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54.5pt;height:141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800225"/>
                      <wp:effectExtent l="0" t="0" r="0" b="0"/>
                      <wp:docPr id="10" name="Picture 1" descr="https://files.activimmo.com/storage/etiquettes/photo/dpe/dpe-ges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800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54.5pt;height:141.8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</w:tbl>
    <w:p>
      <w:pPr>
        <w:jc w:val="center"/>
      </w:pPr>
      <w:r/>
      <w:r/>
    </w:p>
    <w:p>
      <w:pPr>
        <w:pStyle w:val="897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1 074 €</w:t>
        <w:br/>
      </w:r>
      <w:r/>
    </w:p>
    <w:p>
      <w:pPr>
        <w:pStyle w:val="897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897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897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897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897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89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904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3"/>
    <w:next w:val="893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4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3"/>
    <w:next w:val="893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4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3"/>
    <w:next w:val="893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4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3"/>
    <w:next w:val="893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4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4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4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4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4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3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3"/>
    <w:next w:val="893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4"/>
    <w:link w:val="738"/>
    <w:uiPriority w:val="10"/>
    <w:rPr>
      <w:sz w:val="48"/>
      <w:szCs w:val="48"/>
    </w:rPr>
  </w:style>
  <w:style w:type="paragraph" w:styleId="740">
    <w:name w:val="Subtitle"/>
    <w:basedOn w:val="893"/>
    <w:next w:val="893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4"/>
    <w:link w:val="740"/>
    <w:uiPriority w:val="11"/>
    <w:rPr>
      <w:sz w:val="24"/>
      <w:szCs w:val="24"/>
    </w:rPr>
  </w:style>
  <w:style w:type="paragraph" w:styleId="742">
    <w:name w:val="Quote"/>
    <w:basedOn w:val="893"/>
    <w:next w:val="893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3"/>
    <w:next w:val="893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4"/>
    <w:link w:val="899"/>
    <w:uiPriority w:val="99"/>
  </w:style>
  <w:style w:type="character" w:styleId="747">
    <w:name w:val="Footer Char"/>
    <w:basedOn w:val="894"/>
    <w:link w:val="901"/>
    <w:uiPriority w:val="99"/>
  </w:style>
  <w:style w:type="paragraph" w:styleId="748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1"/>
    <w:uiPriority w:val="99"/>
  </w:style>
  <w:style w:type="table" w:styleId="750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9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3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6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0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3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7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4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4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  <w:rPr>
      <w:lang w:val="fr-FR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898">
    <w:name w:val="Table Grid"/>
    <w:basedOn w:val="89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Header"/>
    <w:basedOn w:val="893"/>
    <w:link w:val="900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900" w:customStyle="1">
    <w:name w:val="En-tête Car"/>
    <w:basedOn w:val="894"/>
    <w:link w:val="899"/>
    <w:uiPriority w:val="99"/>
    <w:rPr>
      <w:lang w:val="fr-FR"/>
    </w:rPr>
  </w:style>
  <w:style w:type="paragraph" w:styleId="901">
    <w:name w:val="Footer"/>
    <w:basedOn w:val="893"/>
    <w:link w:val="902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902" w:customStyle="1">
    <w:name w:val="Pied de page Car"/>
    <w:basedOn w:val="894"/>
    <w:link w:val="901"/>
    <w:uiPriority w:val="99"/>
    <w:rPr>
      <w:lang w:val="fr-FR"/>
    </w:rPr>
  </w:style>
  <w:style w:type="paragraph" w:styleId="903" w:customStyle="1">
    <w:name w:val="titre tableau"/>
    <w:basedOn w:val="893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904" w:customStyle="1">
    <w:name w:val="Détail"/>
    <w:basedOn w:val="893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905">
    <w:name w:val="Balloon Text"/>
    <w:basedOn w:val="893"/>
    <w:link w:val="9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6" w:customStyle="1">
    <w:name w:val="Texte de bulles Car"/>
    <w:basedOn w:val="894"/>
    <w:link w:val="905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907">
    <w:name w:val="Default Paragraph Font PHPDOCX"/>
    <w:uiPriority w:val="1"/>
    <w:semiHidden/>
    <w:unhideWhenUsed/>
  </w:style>
  <w:style w:type="paragraph" w:styleId="908">
    <w:name w:val="List Paragraph PHPDOCX"/>
    <w:basedOn w:val="893"/>
    <w:uiPriority w:val="34"/>
    <w:qFormat/>
    <w:pPr>
      <w:contextualSpacing/>
      <w:ind w:left="720"/>
    </w:pPr>
  </w:style>
  <w:style w:type="paragraph" w:styleId="909">
    <w:name w:val="Title PHPDOCX"/>
    <w:basedOn w:val="893"/>
    <w:next w:val="893"/>
    <w:link w:val="91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10" w:customStyle="1">
    <w:name w:val="Title Car PHPDOCX"/>
    <w:basedOn w:val="907"/>
    <w:link w:val="90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911">
    <w:name w:val="Subtitle PHPDOCX"/>
    <w:basedOn w:val="893"/>
    <w:next w:val="893"/>
    <w:link w:val="91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12" w:customStyle="1">
    <w:name w:val="Subtitle Car PHPDOCX"/>
    <w:basedOn w:val="907"/>
    <w:link w:val="91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91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1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5">
    <w:name w:val="annotation reference PHPDOCX"/>
    <w:basedOn w:val="907"/>
    <w:uiPriority w:val="99"/>
    <w:semiHidden/>
    <w:unhideWhenUsed/>
    <w:rPr>
      <w:sz w:val="16"/>
      <w:szCs w:val="16"/>
    </w:rPr>
  </w:style>
  <w:style w:type="paragraph" w:styleId="916">
    <w:name w:val="annotation text PHPDOCX"/>
    <w:basedOn w:val="893"/>
    <w:link w:val="91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7" w:customStyle="1">
    <w:name w:val="Comment Text Char PHPDOCX"/>
    <w:basedOn w:val="907"/>
    <w:link w:val="916"/>
    <w:uiPriority w:val="99"/>
    <w:semiHidden/>
    <w:rPr>
      <w:sz w:val="20"/>
      <w:szCs w:val="20"/>
    </w:rPr>
  </w:style>
  <w:style w:type="paragraph" w:styleId="918">
    <w:name w:val="annotation subject PHPDOCX"/>
    <w:basedOn w:val="916"/>
    <w:next w:val="916"/>
    <w:link w:val="919"/>
    <w:uiPriority w:val="99"/>
    <w:semiHidden/>
    <w:unhideWhenUsed/>
    <w:rPr>
      <w:b/>
      <w:bCs/>
    </w:rPr>
  </w:style>
  <w:style w:type="character" w:styleId="919" w:customStyle="1">
    <w:name w:val="Comment Subject Char PHPDOCX"/>
    <w:basedOn w:val="917"/>
    <w:link w:val="918"/>
    <w:uiPriority w:val="99"/>
    <w:semiHidden/>
    <w:rPr>
      <w:b/>
      <w:bCs/>
      <w:sz w:val="20"/>
      <w:szCs w:val="20"/>
    </w:rPr>
  </w:style>
  <w:style w:type="paragraph" w:styleId="920">
    <w:name w:val="Balloon Text PHPDOCX"/>
    <w:basedOn w:val="893"/>
    <w:link w:val="92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1" w:customStyle="1">
    <w:name w:val="Balloon Text Char PHPDOCX"/>
    <w:basedOn w:val="907"/>
    <w:link w:val="920"/>
    <w:uiPriority w:val="99"/>
    <w:semiHidden/>
    <w:rPr>
      <w:rFonts w:ascii="Tahoma" w:hAnsi="Tahoma" w:cs="Tahoma"/>
      <w:sz w:val="16"/>
      <w:szCs w:val="16"/>
    </w:rPr>
  </w:style>
  <w:style w:type="paragraph" w:styleId="922">
    <w:name w:val="footnote Text PHPDOCX"/>
    <w:basedOn w:val="893"/>
    <w:link w:val="92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3" w:customStyle="1">
    <w:name w:val="footnote Text Car PHPDOCX"/>
    <w:basedOn w:val="907"/>
    <w:link w:val="922"/>
    <w:uiPriority w:val="99"/>
    <w:semiHidden/>
    <w:rPr>
      <w:sz w:val="20"/>
      <w:szCs w:val="20"/>
    </w:rPr>
  </w:style>
  <w:style w:type="character" w:styleId="924">
    <w:name w:val="footnote Reference PHPDOCX"/>
    <w:basedOn w:val="907"/>
    <w:uiPriority w:val="99"/>
    <w:semiHidden/>
    <w:unhideWhenUsed/>
    <w:rPr>
      <w:vertAlign w:val="superscript"/>
    </w:rPr>
  </w:style>
  <w:style w:type="paragraph" w:styleId="925">
    <w:name w:val="endnote Text PHPDOCX"/>
    <w:basedOn w:val="893"/>
    <w:link w:val="92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6" w:customStyle="1">
    <w:name w:val="endnote Text Car PHPDOCX"/>
    <w:basedOn w:val="907"/>
    <w:link w:val="925"/>
    <w:uiPriority w:val="99"/>
    <w:semiHidden/>
    <w:rPr>
      <w:sz w:val="20"/>
      <w:szCs w:val="20"/>
    </w:rPr>
  </w:style>
  <w:style w:type="character" w:styleId="927">
    <w:name w:val="endnote Reference PHPDOCX"/>
    <w:basedOn w:val="90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49</cp:revision>
  <dcterms:created xsi:type="dcterms:W3CDTF">2023-10-02T06:54:00Z</dcterms:created>
  <dcterms:modified xsi:type="dcterms:W3CDTF">2024-09-26T09:48:07Z</dcterms:modified>
</cp:coreProperties>
</file>