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THENON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6086475" cy="40576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MP113382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202 350 € </w:t>
      </w:r>
      <w:r>
        <w:rPr>
          <w:rFonts w:ascii="Century Gothic" w:hAnsi="Century Gothic" w:eastAsia="Century Gothic"/>
          <w:sz w:val="28"/>
        </w:rPr>
        <w:t xml:space="preserve">honoraires inclus à la charge de l'acheteur.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2"/>
        </w:rPr>
        <w:t xml:space="preserve">Jolie maison en pierre dans un petit hameau du Périgord Noir située sur  hauteur avec un parc arboré de 2668 m² à 15 minutes de Montignac-Lascaux.</w:t>
      </w: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88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DSC_1520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88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DSC_1524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88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DSC_1550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88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DSC_1552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2880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DSC_1553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228725" cy="1842770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84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DSC_1554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Très bon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90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2 668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Terrasse: 30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Hameau / Village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Exposition: Nord Sud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3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8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parkings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Américaine Ouverte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Fuel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Village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Atelier de 38 m²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Garage de 17 m² environ avec un grenier.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Hall d'entrée de 4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Pièce à vivre /Cuisine ouverte,  séjour,  salon et hall d'entrée de 40 m²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Chambres de 11,5/14/11 m²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Palier de 3 m²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 de 5 m² environ avec douche à l'italienne/sèche-serviette.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Garage de 17 m² environ avec un grenier.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194,00 KWHep/m²an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 47,00 Kgco2/m²an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Date de réalisation DPE 23/12/2021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CC Fuel chaudière à condensation.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vitrage PVC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Volet électrique) Stores électriques.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PVC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Volets stores elec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Ville la plus proche : Thenon 5 min.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 Brive 1h30.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Thenon 10 min.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 garage et atelier.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 Azerat/Thenon.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Thenon 5 min.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Gîtes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Perigueux/Brive.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Arboré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Barbecue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Constructible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Cloturé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Jardin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Piscine hors sol.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prairie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Tuiles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24025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2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62125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62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194 KWHep/m² 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47 Kg CO2/m² an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D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GES - D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Ludovic MONS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mperigord@wanadoo.fr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0672150964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5"/>
      <w:footerReference w:type="default" r:id="rId00016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50"/>
      </w:rPr>
    </w:pPr>
    <w:r>
      <w:drawing>
        <wp:inline distT="0" distB="0" distL="0" distR="0">
          <wp:extent cx="4114800" cy="1666875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4114800" cy="166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