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8 322  du 21/05/2024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68 chemin des Marguerites 24580 FLEURAC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MAGY Daniel</w:t>
            </w:r>
          </w:p>
          <w:p>
            <w:pPr>
              <w:pStyle w:val="[Normal]"/>
              <w:jc w:val="center"/>
            </w:pPr>
            <w:r>
              <w:t xml:space="preserve">68 chemin des Marguerites 24580 FLEURAC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15 000 €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