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SCI GB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8 avenue de la gare,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Maison de ville entièrement rénovée avec terrain attenant. Ensemble cadastré aux numéros 149 et 600 section AS pour une contenance d’environ 410 m² sis : 46 avenue Jean Jaures,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265 000 €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15 900 €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23 mai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MP113806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 Messieurs GRECO et BLONDY Prénom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8 avenue de la gare,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23 mai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shd w:val="clear" w:fill="C0C0C0"/>
        </w:rPr>
        <w:t xml:space="preserve">Messieurs GRECO et BLONDY</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15 900 €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23 mai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9859"/>
        <w:tab w:val="left" w:pos="12053"/>
        <w:tab w:val="left" w:pos="12762"/>
        <w:tab w:val="left" w:pos="13471"/>
        <w:tab w:val="left" w:pos="14180"/>
        <w:tab w:val="left" w:pos="14889"/>
        <w:tab w:val="left" w:pos="15598"/>
        <w:tab w:val="left" w:pos="16307"/>
        <w:tab w:val="left" w:pos="17016"/>
        <w:tab w:val="left" w:pos="18144"/>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9217"/>
        <w:tab w:val="left" w:pos="9859"/>
        <w:tab w:val="left" w:pos="9859"/>
        <w:tab w:val="left" w:pos="12053"/>
        <w:tab w:val="left" w:pos="12762"/>
        <w:tab w:val="left" w:pos="13471"/>
        <w:tab w:val="left" w:pos="14180"/>
        <w:tab w:val="left" w:pos="14889"/>
        <w:tab w:val="left" w:pos="15598"/>
        <w:tab w:val="left" w:pos="16307"/>
        <w:tab w:val="left" w:pos="17016"/>
        <w:tab w:val="left" w:pos="18144"/>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