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10365"/>
      </w:tblGrid>
      <w:tr>
        <w:trPr/>
        <w:tc>
          <w:tcPr>
            <w:shd w:val="clear" w:color="auto" w:fill="auto"/>
            <w:tcW w:w="10365" w:type="dxa"/>
            <w:vAlign w:val="top"/>
            <w:textDirection w:val="lrTb"/>
            <w:noWrap w:val="false"/>
          </w:tcPr>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48"/>
              </w:rPr>
            </w:pPr>
            <w:r>
              <mc:AlternateContent>
                <mc:Choice Requires="wpg">
                  <w:drawing>
                    <wp:inline xmlns:wp="http://schemas.openxmlformats.org/drawingml/2006/wordprocessingDrawing" distT="0" distB="0" distL="0" distR="0">
                      <wp:extent cx="3762375" cy="1532255"/>
                      <wp:effectExtent l="0" t="0" r="0" b="0"/>
                      <wp:docPr id="1" name="_x0000_i0"/>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3762375" cy="153225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6pt;mso-wrap-distance-left:0.0pt;mso-wrap-distance-top:0.0pt;mso-wrap-distance-right:0.0pt;mso-wrap-distance-bottom:0.0pt;" stroked="false">
                      <v:path textboxrect="0,0,0,0"/>
                      <v:imagedata r:id="rId10" o:title=""/>
                    </v:shape>
                  </w:pict>
                </mc:Fallback>
              </mc:AlternateContent>
            </w:r>
            <w:r>
              <w:rPr>
                <w:rFonts w:ascii="Times New Roman" w:hAnsi="Times New Roman" w:eastAsia="Times New Roman"/>
                <w:sz w:val="22"/>
              </w:rPr>
              <w:t xml:space="preserve"> </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sz w:val="32"/>
              </w:rPr>
              <w:t xml:space="preserve">11 rue du 4 septembre, 24 290 Montignac.</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
          </w:p>
        </w:tc>
      </w:tr>
    </w:tbl>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sz w:val="32"/>
        </w:rPr>
      </w:pPr>
      <w:r>
        <w:rPr>
          <w:rFonts w:ascii="Times New Roman" w:hAnsi="Times New Roman" w:eastAsia="Times New Roman"/>
          <w:b/>
          <w:color w:val="0000ff"/>
          <w:sz w:val="32"/>
        </w:rPr>
        <w:t xml:space="preserve">  MANDAT DE VENTE SIMPLE SANS EXCLUSIVITE  N° </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4"/>
        </w:rPr>
        <w:t xml:space="preserve">(Avec faculté de rétractation)</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4"/>
          <w:u w:val="single"/>
        </w:rPr>
        <w:t xml:space="preserve">Nous soussignés :</w:t>
      </w:r>
      <w:r>
        <w:rPr>
          <w:rFonts w:ascii="Times New Roman" w:hAnsi="Times New Roman" w:eastAsia="Times New Roman"/>
          <w:b/>
          <w:sz w:val="18"/>
          <w:u w:val="single"/>
        </w:rPr>
        <w:t xml:space="preserve">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2"/>
          <w:shd w:val="clear" w:color="auto" w:fill="c0c0c0"/>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2"/>
          <w:shd w:val="clear" w:color="auto" w:fill="c0c0c0"/>
        </w:rPr>
        <w:t xml:space="preserve">Mr Daniel MAGY</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2"/>
          <w:shd w:val="clear" w:color="auto" w:fill="c0c0c0"/>
        </w:rPr>
        <w:t xml:space="preserve">68, chemin des Marguerites, 24580 FLEURAC</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8"/>
        </w:rPr>
      </w:pPr>
      <w:r>
        <w:rPr>
          <w:rFonts w:ascii="Times New Roman" w:hAnsi="Times New Roman" w:eastAsia="Times New Roman"/>
          <w:b/>
          <w:sz w:val="18"/>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b/>
        </w:rPr>
      </w:pPr>
      <w:r>
        <w:rPr>
          <w:b/>
        </w:rPr>
        <w:t xml:space="preserve">Agissant conjointement et s</w:t>
      </w:r>
      <w:r>
        <w:rPr>
          <w:b/>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i/>
        </w:rPr>
      </w:pPr>
      <w:r>
        <w:rPr>
          <w:i/>
        </w:rPr>
        <w:t xml:space="preserve">SARL </w:t>
      </w:r>
      <w:r>
        <w:rPr>
          <w:b/>
          <w:i/>
        </w:rPr>
        <w:t xml:space="preserve">Maisons en Périgord </w:t>
      </w:r>
      <w:r>
        <w:rPr>
          <w:i/>
        </w:rPr>
        <w:t xml:space="preserve">au capital social de 7.622 euros, sise 11, rue du 4 Septembre - 24290 MONTIGNAC, titulaire de </w:t>
      </w:r>
      <w:r>
        <w:rPr>
          <w:i/>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rPr>
        <w:t xml:space="preserve"> </w:t>
      </w:r>
      <w:r>
        <w:t xml:space="preserve">l’immobilier adhérents au Groupement Immobilier Lot Dordogne Corrèze (GILDC) ou au profit de tout professionnel spécifiquement sélectionné.</w:t>
      </w:r>
      <w:r/>
    </w:p>
    <w:p>
      <w:pPr>
        <w:pStyle w:val="618"/>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rPr>
      </w:pPr>
      <w:r>
        <w:rPr>
          <w:rFonts w:ascii="Times New Roman" w:hAnsi="Times New Roman" w:eastAsia="Times New Roman"/>
          <w:b/>
          <w:u w:val="single"/>
        </w:rPr>
        <w:t xml:space="preserve">1/ Situation - Désignation :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rPr>
      </w:pPr>
      <w:r>
        <w:rPr>
          <w:rFonts w:ascii="Times New Roman" w:hAnsi="Times New Roman" w:eastAsia="Times New Roman"/>
          <w:b/>
          <w:u w:val="single"/>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b/>
          <w:sz w:val="22"/>
          <w:shd w:val="clear" w:color="auto" w:fill="c0c0c0"/>
        </w:rPr>
        <w:t xml:space="preserve">Maison restaurée avec terrain attenant. Ensemble cadastré aux numéros 432, 434, 436, 438 et 440 section AK pour une contenance totale de 2593 m² sis : Le Moulinier, 24580 FLEURAC.</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8"/>
        </w:rPr>
      </w:pPr>
      <w:r>
        <w:rPr>
          <w:rFonts w:ascii="Times New Roman" w:hAnsi="Times New Roman" w:eastAsia="Times New Roman"/>
          <w:b/>
          <w:u w:val="single"/>
        </w:rPr>
        <w:t xml:space="preserve">2/ Prix :</w:t>
      </w:r>
      <w:r>
        <w:rPr>
          <w:rFonts w:ascii="Times New Roman" w:hAnsi="Times New Roman" w:eastAsia="Times New Roman"/>
          <w:b/>
        </w:rPr>
        <w:t xml:space="preserve"> </w:t>
      </w:r>
      <w:r>
        <w:rPr>
          <w:rFonts w:ascii="Times New Roman" w:hAnsi="Times New Roman" w:eastAsia="Times New Roman"/>
        </w:rPr>
        <w:t xml:space="preserve">Le prix demandé par le mandant, vendeur des biens et droits ci-avant désignés est, sauf accord ultérieur de: </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sz w:val="28"/>
        </w:rPr>
        <w:t xml:space="preserve">260 000 €</w:t>
      </w:r>
      <w:r>
        <w:rPr>
          <w:rFonts w:ascii="Times New Roman" w:hAnsi="Times New Roman" w:eastAsia="Times New Roman"/>
        </w:rPr>
        <w:t xml:space="preserve">, net vendeur, payable comptant le jour de la signature de l'acte authentique, tant à l'aide de prêts que de fonds propres de l'acquéreur.</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28"/>
        </w:rPr>
      </w:pPr>
      <w:r>
        <w:rPr>
          <w:rFonts w:ascii="Times New Roman" w:hAnsi="Times New Roman" w:eastAsia="Times New Roman"/>
          <w:b/>
          <w:u w:val="single"/>
        </w:rPr>
        <w:t xml:space="preserve">3/Honoraires :</w:t>
      </w:r>
      <w:r>
        <w:rPr>
          <w:rFonts w:ascii="Times New Roman" w:hAnsi="Times New Roman" w:eastAsia="Times New Roman"/>
          <w:b/>
        </w:rPr>
        <w:t xml:space="preserve"> </w:t>
      </w:r>
      <w:r>
        <w:rPr>
          <w:rFonts w:ascii="Times New Roman" w:hAnsi="Times New Roman" w:eastAsia="Times New Roman"/>
        </w:rPr>
        <w:t xml:space="preserve">Les honoraires de l’agence seront de : </w:t>
      </w:r>
      <w:r>
        <w:rPr>
          <w:rFonts w:ascii="Times New Roman" w:hAnsi="Times New Roman" w:eastAsia="Times New Roman"/>
          <w:b/>
          <w:sz w:val="28"/>
        </w:rPr>
        <w:t xml:space="preserve">15 600 € soit 6.00% du prix net vendeur.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0"/>
        </w:rPr>
      </w:pPr>
      <w:r>
        <w:rPr>
          <w:rFonts w:ascii="Times New Roman" w:hAnsi="Times New Roman" w:eastAsia="Times New Roman"/>
          <w:b/>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u w:val="single"/>
        </w:rPr>
        <w:t xml:space="preserve">4/Durée du mandat :</w:t>
      </w:r>
      <w:r>
        <w:rPr>
          <w:rFonts w:ascii="Times New Roman" w:hAnsi="Times New Roman" w:eastAsia="Times New Roman"/>
          <w:b/>
        </w:rPr>
        <w:t xml:space="preserve"> </w:t>
      </w:r>
      <w:r>
        <w:t xml:space="preserve">Ce mandat vous est consenti pour une durée de </w:t>
      </w:r>
      <w:r>
        <w:rPr>
          <w:b/>
          <w:sz w:val="28"/>
        </w:rPr>
        <w:t xml:space="preserve">douze mois </w:t>
      </w:r>
      <w:r>
        <w:t xml:space="preserve">(12 mois), dont les trois premiers mois sont irrévocables. Pas</w:t>
      </w:r>
      <w:r>
        <w:t xml:space="preserve">sé cette période d'irrévocabilité, il pourra être dénoncé à tout moment par chacune des parties, à charge pour celle qui entend y mettre fin d'en aviser l'autre partie quinze jours à l'avance par lettre recommandée avec A.R. Article L136-1 du code de la co</w:t>
      </w:r>
      <w:r>
        <w:t xml:space="preserve">nsommation modifié par la loi n°2014-344 du 17/03/2014 art.35. 'Le professionnel prestataire de services informe le consommateur par écrit, par lettre nominative ou courrier électronique dédié, au plus tôt trois mois et au plus tard un mois avant le terme </w:t>
      </w:r>
      <w:r>
        <w:t xml:space="preserve">de la période autorisant le rejet de la reconduction, de la possibilité de ne pas reconduire le contrat qu'il a conclu avec une clause de reconduction tacite. Cette information, délivrée dans des termes clairs et compréhensibles, mentionne, dans un encadré</w:t>
      </w:r>
      <w:r>
        <w:t xml:space="preserve"> apparent, la date limite de résiliation. Lorsque cette information ne lui a pas été adressée conformément aux dispositions du premier alinéa, le consommateur peut mettre gratuitement un terme au contrat, à tout moment à compter de la date de reconduction.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hd w:val="clear" w:color="auto" w:fill="c0c0c0"/>
        </w:rPr>
      </w:pPr>
      <w:r>
        <w:rPr>
          <w:rFonts w:ascii="Times New Roman" w:hAnsi="Times New Roman" w:eastAsia="Times New Roman"/>
          <w:b/>
          <w:u w:val="single"/>
        </w:rPr>
        <w:t xml:space="preserve">5/Conditions particulières :</w:t>
      </w:r>
      <w:r>
        <w:rPr>
          <w:rFonts w:ascii="Times New Roman" w:hAnsi="Times New Roman" w:eastAsia="Times New Roman"/>
          <w:b/>
        </w:rPr>
        <w:t xml:space="preserve"> </w:t>
      </w:r>
      <w:r>
        <w:rPr>
          <w:rFonts w:ascii="Times New Roman" w:hAnsi="Times New Roman" w:eastAsia="Times New Roman"/>
          <w:b/>
          <w:shd w:val="clear" w:color="auto" w:fill="c0c0c0"/>
        </w:rPr>
        <w:tab/>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sz w:val="20"/>
        </w:rPr>
        <w:t xml:space="preserve">Néant.</w:t>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rPr>
      </w:pPr>
      <w:r>
        <w:rPr>
          <w:rFonts w:ascii="Times New Roman" w:hAnsi="Times New Roman" w:eastAsia="Times New Roman"/>
          <w:b/>
          <w:sz w:val="20"/>
          <w:u w:val="single"/>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u w:val="single"/>
        </w:rPr>
      </w:pPr>
      <w:r>
        <w:rPr>
          <w:rFonts w:ascii="Times New Roman" w:hAnsi="Times New Roman" w:eastAsia="Times New Roman"/>
          <w:b/>
          <w:sz w:val="20"/>
          <w:u w:val="single"/>
        </w:rPr>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6/Moyens de diffusion des annonces commerciales :</w:t>
      </w:r>
      <w:r>
        <w:rPr>
          <w:rFonts w:ascii="Times New Roman" w:hAnsi="Times New Roman" w:eastAsia="Times New Roman"/>
          <w:b/>
          <w:sz w:val="20"/>
        </w:rPr>
        <w:t xml:space="preserve"> </w:t>
      </w:r>
      <w:r/>
    </w:p>
    <w:p>
      <w:pPr>
        <w:pStyle w:val="62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0"/>
        </w:rPr>
      </w:pPr>
      <w:r>
        <w:rPr>
          <w:rFonts w:ascii="Times New Roman" w:hAnsi="Times New Roman" w:eastAsia="Times New Roman"/>
          <w:sz w:val="20"/>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De par son appartenance au Groupement Immobilier Lot Dordogne Corrèze (GILDC), l'annonce commerciale est susceptible d'être diffusée sur un ou plusieurs des sites internet des Agences membres du Groupement : </w:t>
      </w:r>
      <w:r>
        <w:rPr>
          <w:b/>
        </w:rPr>
        <w:t xml:space="preserve">DEMEURES EN</w:t>
      </w:r>
      <w:r>
        <w:t xml:space="preserve"> </w:t>
      </w:r>
      <w:r>
        <w:rPr>
          <w:b/>
        </w:rPr>
        <w:t xml:space="preserve">PERIGORD, BOURIANE IMMOBILIER, , IFERGANE IMMOBILIER, CHRIS'IMMO, LVT IMMOBILIER,</w:t>
      </w:r>
      <w:r>
        <w:t xml:space="preserve"> </w:t>
      </w:r>
      <w:r>
        <w:rPr>
          <w:b/>
        </w:rPr>
        <w:t xml:space="preserve">PLEIN SUD IMMO, COUNTRY HOMES FRANCE, QUERCY TRANSACTIONS.</w:t>
      </w:r>
      <w: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rPr>
        <w:t xml:space="preserve">Se</w:t>
      </w:r>
      <w:r>
        <w:t xml:space="preserve"> </w:t>
      </w:r>
      <w:r>
        <w:rPr>
          <w:b/>
        </w:rPr>
        <w:t xml:space="preserve">Loger.com, A Vendre A Louer, Annonces Jaunes, Les clefs du Midi, Le Bon Coin, Logic Immo, Acheter Louer,</w:t>
      </w:r>
      <w:r>
        <w:t xml:space="preserve"> </w:t>
      </w:r>
      <w:r>
        <w:rPr>
          <w:b/>
        </w:rPr>
        <w:t xml:space="preserve">Paru-Vendu, Explorimmo, green accres ®-© etc... </w:t>
      </w:r>
      <w:r>
        <w:t xml:space="preserve">Le mandat autorise l'agence </w:t>
      </w:r>
      <w:r>
        <w:rPr>
          <w:rFonts w:ascii="Impact" w:hAnsi="Impact" w:eastAsia="Impact"/>
        </w:rPr>
        <w:t xml:space="preserve">SARL MAISONS EN PERIGORD </w:t>
      </w:r>
      <w:r>
        <w:t xml:space="preserve">à saisir l'ensemble des informations contenu dans le présent mandat sur le fichier intranet du Groupement Immobilier Lot Dordogne Corrèze (GILDC) et à poser un panneau sur le bien immobilier si l'agence le juge utile.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u w:val="single"/>
        </w:rPr>
      </w:pPr>
      <w:r>
        <w:rPr>
          <w:rFonts w:ascii="Times New Roman" w:hAnsi="Times New Roman" w:eastAsia="Times New Roman"/>
          <w:b/>
          <w:u w:val="single"/>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b/>
          <w:u w:val="single"/>
        </w:rPr>
        <w:t xml:space="preserve">7/Plus-value et T.V.A. :</w:t>
      </w:r>
      <w:r>
        <w:rPr>
          <w:rFonts w:ascii="Times New Roman" w:hAnsi="Times New Roman" w:eastAsia="Times New Roman"/>
          <w:b/>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u w:val="single"/>
        </w:rPr>
        <w:t xml:space="preserve">8/Pouvoirs du mandataire :</w:t>
      </w:r>
      <w:r>
        <w:rPr>
          <w:rFonts w:ascii="Times New Roman" w:hAnsi="Times New Roman" w:eastAsia="Times New Roman"/>
          <w:b/>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En considération du mandat présentement accordé, tous pouvoirs vous sont donnés pour mener à bien votre mission. Vous pourrez notamment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1- Faire tout ce qui vous sera utile pour parvenir à la vente et notamment toute publicité sur tous supports à votre convenance, y compris sur fichiers informatiques librement accessibles (internet, intranet, e-mail...) mais à</w:t>
      </w:r>
      <w: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bien ne pourra faire l'objet d'une campagne publicitaire publique qu'à compter de la transmission au mandataire du DPE.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2- Réclamer toutes les pièces utiles auprès de toutes personnes privées ou publiques, notamment le certificat d'urbanisme.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3- Indiquer, présenter et faire visiter les biens à vendre à toutes personnes.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A cet effet, nous nous obligeons à vous assurer le moyen de visiter pendant le cours du présent mandat.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5- Satisfaire, s'il y a lieu, à la déclaration d'intention d'aliéner, exigée par la loi. En cas d'exercice du d</w:t>
      </w:r>
      <w: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6- Séquest</w:t>
      </w:r>
      <w: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7- Dossier diagnostic technique: le vendeur fera effectuer sans délai l'ensemble des constats, états et diagnostics obligatoires. Ce dossier devra être annexé à l'engagement des parties.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u w:val="single"/>
        </w:rPr>
      </w:pPr>
      <w:r>
        <w:t xml:space="preserve">8- Vous adjoindre ou substituer tout professionnel de votre choix pour l'accomplissement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u w:val="single"/>
        </w:rPr>
      </w:pPr>
      <w:r>
        <w:rPr>
          <w:rFonts w:ascii="Times New Roman" w:hAnsi="Times New Roman" w:eastAsia="Times New Roman"/>
          <w:b/>
          <w:u w:val="single"/>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u w:val="single"/>
        </w:rPr>
        <w:t xml:space="preserve">9/Obligations du mandant</w:t>
      </w:r>
      <w:r>
        <w:rPr>
          <w:rFonts w:ascii="Times New Roman" w:hAnsi="Times New Roman" w:eastAsia="Times New Roman"/>
          <w:b/>
        </w:rPr>
        <w:t xml:space="preserve"> </w:t>
      </w:r>
      <w:r>
        <w:rPr>
          <w:rFonts w:ascii="Times New Roman" w:hAnsi="Times New Roman" w:eastAsia="Times New Roman"/>
        </w:rPr>
        <w:t xml:space="preserve">(quelle que soit l'option choisie) </w:t>
      </w:r>
      <w:r>
        <w:rPr>
          <w:rFonts w:ascii="Times New Roman" w:hAnsi="Times New Roman" w:eastAsia="Times New Roman"/>
          <w:b/>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-Pendant la durée du mandat, nous nous engageons à ratifier la vente à tout acquéreur que vous nous présenterez en acceptant les prix et conditions des présentes, et à libérer les lieux pour le jour de l'acte authentique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-Si nous présentons les biens à vendre directement ou par l'intermédiaire d'un autre mandataire, nous le ferons au prix des présentes, de façon à ne pas vous gêner dans votre mission.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-Nous nous interdisons de vendre sans votre concours, y compris par un autre intermédiaire, à un acquéreur qui nous aurait été présenté par vous, pendant la durée du mandat et deux ans après son expiration.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-Clause pénale : En cas d'infraction aux obligations stipulées au paragraphe ci-dessus, le mandant versera une indemnité compensatrice forfaitaire égale à la rémunération prévue au présent mandat.</w:t>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u w:val="single"/>
        </w:rPr>
      </w:pPr>
      <w:r>
        <w:rPr>
          <w:rFonts w:ascii="Times New Roman" w:hAnsi="Times New Roman" w:eastAsia="Times New Roman"/>
          <w:b/>
          <w:u w:val="single"/>
        </w:rPr>
      </w: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rPr>
      </w:pPr>
      <w:r>
        <w:rPr>
          <w:rFonts w:ascii="Times New Roman" w:hAnsi="Times New Roman" w:eastAsia="Times New Roman"/>
          <w:b/>
          <w:highlight w:val="none"/>
          <w:u w:val="single"/>
        </w:rPr>
      </w:r>
      <w:r>
        <w:rPr>
          <w:rFonts w:ascii="Times New Roman" w:hAnsi="Times New Roman" w:eastAsia="Times New Roman"/>
          <w:b/>
          <w:highlight w:val="none"/>
          <w:u w:val="single"/>
        </w:rP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rPr>
      </w:pPr>
      <w:r>
        <w:rPr>
          <w:rFonts w:ascii="Times New Roman" w:hAnsi="Times New Roman" w:eastAsia="Times New Roman"/>
          <w:b/>
          <w:highlight w:val="none"/>
          <w:u w:val="single"/>
        </w:rPr>
      </w:r>
      <w:r>
        <w:rPr>
          <w:rFonts w:ascii="Times New Roman" w:hAnsi="Times New Roman" w:eastAsia="Times New Roman"/>
          <w:b/>
          <w:highlight w:val="none"/>
          <w:u w:val="single"/>
        </w:rPr>
      </w:r>
    </w:p>
    <w:p>
      <w:pPr>
        <w:pStyle w:val="61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bCs/>
          <w:highlight w:val="none"/>
          <w:u w:val="single"/>
        </w:rPr>
      </w:pPr>
      <w:r>
        <w:rPr>
          <w:rFonts w:ascii="Times New Roman" w:hAnsi="Times New Roman" w:eastAsia="Times New Roman"/>
          <w:b/>
          <w:u w:val="single"/>
        </w:rPr>
        <w:t xml:space="preserve">10/ Option mandat Simple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présent mandat vous est consenti sans exclusivité, nous gardons toute liberté de vendre par nous-même ou par l’intermédiaire d'une autre agence, sous réserve de respecter les obligations de l'article 10.</w:t>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6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rPr>
      </w:r>
      <w:r/>
    </w:p>
    <w:p>
      <w:pPr>
        <w:pStyle w:val="620"/>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11/ Vente sans votre concours</w:t>
      </w:r>
      <w:r>
        <w:rPr>
          <w:rFonts w:ascii="Times New Roman" w:hAnsi="Times New Roman" w:eastAsia="Times New Roman"/>
          <w:sz w:val="20"/>
          <w:u w:val="single"/>
        </w:rPr>
        <w:t xml:space="preserve"> </w:t>
      </w:r>
      <w:r>
        <w:rPr>
          <w:rFonts w:ascii="Times New Roman" w:hAnsi="Times New Roman" w:eastAsia="Times New Roman"/>
          <w:b/>
          <w:sz w:val="20"/>
          <w:u w:val="single"/>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-Dans le cas de vente sans votre concours, nous nous engageons à vous en informer im</w:t>
      </w:r>
      <w: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-Clauses pénales : En cas de non-respect de la clause ci-dessu</w:t>
      </w:r>
      <w: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20"/>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0"/>
        </w:rPr>
      </w:pPr>
      <w:r>
        <w:rPr>
          <w:rFonts w:ascii="Times New Roman" w:hAnsi="Times New Roman" w:eastAsia="Times New Roman"/>
          <w:b/>
          <w:sz w:val="20"/>
          <w:u w:val="single"/>
        </w:rPr>
        <w:t xml:space="preserve">12/Faculté de rétractation du mandant</w:t>
      </w:r>
      <w:r>
        <w:rPr>
          <w:rFonts w:ascii="Times New Roman" w:hAnsi="Times New Roman" w:eastAsia="Times New Roman"/>
          <w:sz w:val="20"/>
          <w:u w:val="single"/>
        </w:rPr>
        <w:t xml:space="preserve"> </w:t>
      </w:r>
      <w:r>
        <w:rPr>
          <w:rFonts w:ascii="Times New Roman" w:hAnsi="Times New Roman" w:eastAsia="Times New Roman"/>
          <w:b/>
          <w:sz w:val="20"/>
          <w:u w:val="single"/>
        </w:rPr>
        <w:t xml:space="preserve">:</w:t>
      </w:r>
      <w:r>
        <w:rPr>
          <w:rFonts w:ascii="Times New Roman" w:hAnsi="Times New Roman" w:eastAsia="Times New Roman"/>
          <w:b/>
          <w:sz w:val="20"/>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a la faculté de renoncer au mandat dans le délai de quatorze jours à compter de la date de signature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Si le mandant entend utiliser cette faculté, il utilisera le formulaire ci-contre ou pro</w:t>
      </w:r>
      <w: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L'exercice de la faculté de rétractation par le mandant ne donnera lieu à aucune indemnité ni frais.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Les prestations devant être exécutées par le mandataire dans le cadre des présentes et notamment la diffusion d'annonces portant sur l'offre de vente des biens, ne débuteront qu'à l'expiration de ce délai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rPr>
      </w:pPr>
      <w:r>
        <w:rPr>
          <w:rFonts w:ascii="Times New Roman" w:hAnsi="Times New Roman" w:eastAsia="Times New Roman"/>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b/>
        </w:rPr>
        <w:t xml:space="preserve">Fait à Montignac le 22 mai 2024</w:t>
      </w:r>
      <w:r>
        <w:rPr>
          <w:rFonts w:ascii="Times New Roman" w:hAnsi="Times New Roman" w:eastAsia="Times New Roman"/>
        </w:rP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rPr>
      </w:pPr>
      <w:r>
        <w:rPr>
          <w:rFonts w:ascii="Times New Roman" w:hAnsi="Times New Roman" w:eastAsia="Times New Roman"/>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déclare et reconnai</w:t>
      </w:r>
      <w: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rPr>
        <w:t xml:space="preserve">SARL MAISONS EN PERIGORD</w:t>
      </w:r>
      <w:r>
        <w:t xml:space="preserve">    </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rPr>
        <w:t xml:space="preserve">  Bon pour mandat                                                                                                   Mandat Accepté</w:t>
      </w:r>
      <w:r/>
    </w:p>
    <w:p>
      <w:pPr>
        <w:pStyle w:val="6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rPr>
      </w:pPr>
      <w:r>
        <w:rPr>
          <w:rFonts w:ascii="Times New Roman" w:hAnsi="Times New Roman" w:eastAsia="Times New Roman"/>
          <w:b/>
        </w:r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jc w:val="right"/>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18"/>
        </w:rPr>
      </w:pPr>
      <w:r>
        <w:rPr>
          <w:rFonts w:ascii="Times New Roman" w:hAnsi="Times New Roman" w:eastAsia="Times New Roman"/>
          <w:b/>
          <w:sz w:val="18"/>
        </w:rPr>
      </w:r>
      <w:r/>
    </w:p>
    <w:p>
      <w:pPr>
        <w:pStyle w:val="618"/>
        <w:jc w:val="both"/>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br w:type="page" w:clear="all"/>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b/>
          <w:sz w:val="36"/>
        </w:rPr>
      </w:pPr>
      <w:r>
        <w:rPr>
          <w:rFonts w:ascii="Times New Roman" w:hAnsi="Times New Roman" w:eastAsia="Times New Roman"/>
          <w:b/>
          <w:sz w:val="36"/>
        </w:rPr>
        <w:t xml:space="preserve">Formulaire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22"/>
        </w:rPr>
        <w:t xml:space="preserve">A l'attention de </w:t>
      </w:r>
      <w:r>
        <w:rPr>
          <w:b/>
          <w:sz w:val="22"/>
        </w:rPr>
        <w:t xml:space="preserve">SARL MAISONS EN PERIGORD à MONTIGNAC (24290)</w:t>
      </w:r>
      <w:r>
        <w:rPr>
          <w:rFonts w:ascii="Impact" w:hAnsi="Impact" w:eastAsia="Impact"/>
          <w:sz w:val="22"/>
        </w:rPr>
        <w:t xml:space="preserve"> </w:t>
      </w:r>
      <w:r>
        <w:rPr>
          <w:b/>
          <w:sz w:val="22"/>
        </w:rPr>
        <w:t xml:space="preserve">11, Rue du IV Septembre. </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16"/>
        </w:rPr>
      </w:pPr>
      <w:r>
        <w:rPr>
          <w:rFonts w:ascii="Times New Roman" w:hAnsi="Times New Roman" w:eastAsia="Times New Roman"/>
          <w:sz w:val="16"/>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sz w:val="22"/>
          <w:shd w:val="clear" w:color="auto" w:fill="c0c0c0"/>
        </w:rPr>
        <w:t xml:space="preserve"> MP113797</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sz w:val="22"/>
        </w:rPr>
        <w:t xml:space="preserve">Nom.</w:t>
      </w:r>
      <w:r>
        <w:rPr>
          <w:rFonts w:ascii="Times New Roman" w:hAnsi="Times New Roman" w:eastAsia="Times New Roman"/>
          <w:b/>
          <w:sz w:val="22"/>
          <w:shd w:val="clear" w:color="auto" w:fill="c0c0c0"/>
        </w:rPr>
        <w:t xml:space="preserve">PEYRATOUT</w:t>
      </w:r>
      <w:r>
        <w:rPr>
          <w:rFonts w:ascii="Times New Roman" w:hAnsi="Times New Roman" w:eastAsia="Times New Roman"/>
          <w:sz w:val="22"/>
        </w:rPr>
        <w:t xml:space="preserve"> Prénom :</w:t>
      </w:r>
      <w:r>
        <w:rPr>
          <w:rFonts w:ascii="Times New Roman" w:hAnsi="Times New Roman" w:eastAsia="Times New Roman"/>
          <w:b/>
          <w:sz w:val="22"/>
          <w:shd w:val="clear" w:color="auto" w:fill="c0c0c0"/>
        </w:rPr>
        <w:t xml:space="preserve"> Daniel</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22"/>
          <w:shd w:val="clear" w:color="auto" w:fill="c0c0c0"/>
        </w:rPr>
      </w:pPr>
      <w:r>
        <w:rPr>
          <w:rFonts w:ascii="Times New Roman" w:hAnsi="Times New Roman" w:eastAsia="Times New Roman"/>
          <w:sz w:val="22"/>
        </w:rPr>
        <w:t xml:space="preserve">Adresse </w:t>
      </w:r>
      <w:r>
        <w:rPr>
          <w:rFonts w:ascii="Times New Roman" w:hAnsi="Times New Roman" w:eastAsia="Times New Roman"/>
          <w:b/>
          <w:sz w:val="22"/>
          <w:shd w:val="clear" w:color="auto" w:fill="c0c0c0"/>
        </w:rPr>
        <w:t xml:space="preserve"> 68 chemin des Marguerites, 24580 FLEURAC</w:t>
      </w:r>
      <w:r/>
    </w:p>
    <w:p>
      <w:pPr>
        <w:pStyle w:val="618"/>
        <w:tabs>
          <w:tab w:val="left" w:pos="708" w:leader="none"/>
          <w:tab w:val="left" w:pos="1416" w:leader="none"/>
          <w:tab w:val="left" w:pos="2124" w:leader="none"/>
          <w:tab w:val="left" w:pos="2832" w:leader="none"/>
          <w:tab w:val="left" w:pos="3540"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sz w:val="22"/>
          <w:shd w:val="clear" w:color="auto" w:fill="c0c0c0"/>
        </w:rPr>
        <w:t xml:space="preserve">2 mai 2024</w:t>
      </w:r>
      <w:r>
        <w:rPr>
          <w:rFonts w:ascii="Times New Roman" w:hAnsi="Times New Roman" w:eastAsia="Times New Roman"/>
          <w:sz w:val="22"/>
        </w:rPr>
        <w:t xml:space="preserve">                                     </w:t>
        <w:tab/>
        <w:tab/>
        <w:tab/>
        <w:t xml:space="preserve">Signature</w:t>
        <w:tab/>
      </w:r>
      <w:r/>
    </w:p>
    <w:p>
      <w:pPr>
        <w:pStyle w:val="618"/>
        <w:tabs>
          <w:tab w:val="left" w:pos="708" w:leader="none"/>
          <w:tab w:val="left" w:pos="1416" w:leader="none"/>
          <w:tab w:val="left" w:pos="2124" w:leader="none"/>
          <w:tab w:val="left" w:pos="2832" w:leader="none"/>
          <w:tab w:val="left" w:pos="3540"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sz w:val="22"/>
        </w:rPr>
      </w:pPr>
      <w:r>
        <w:rPr>
          <w:rFonts w:ascii="Times New Roman" w:hAnsi="Times New Roman" w:eastAsia="Times New Roman"/>
          <w:sz w:val="22"/>
        </w:rPr>
      </w:r>
      <w:r/>
    </w:p>
    <w:p>
      <w:pPr>
        <w:pStyle w:val="618"/>
        <w:spacing w:after="160" w:line="259" w:lineRule="auto"/>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Times New Roman"/>
          <w:sz w:val="22"/>
        </w:rPr>
      </w:pPr>
      <w:r>
        <w:rPr>
          <w:rFonts w:ascii="Times New Roman" w:hAnsi="Times New Roman" w:eastAsia="Times New Roman"/>
          <w:sz w:val="22"/>
        </w:rPr>
        <w:br w:type="page" w:clear="all"/>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sz w:val="22"/>
        </w:rPr>
      </w:pPr>
      <w:r>
        <w:rPr>
          <w:rFonts w:ascii="Times New Roman" w:hAnsi="Times New Roman" w:eastAsia="Times New Roman"/>
          <w:sz w:val="22"/>
        </w:rPr>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36"/>
        </w:rPr>
      </w:pPr>
      <w:r>
        <w:rPr>
          <w:rFonts w:ascii="Times New Roman" w:hAnsi="Times New Roman" w:eastAsia="Times New Roman"/>
          <w:b/>
          <w:sz w:val="36"/>
        </w:rPr>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b/>
          <w:sz w:val="36"/>
        </w:rPr>
        <w:t xml:space="preserve">INFORMATIONS PRECONTRACTUELLES</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Préalables à la signature d'un mandat</w:t>
      </w:r>
      <w:r/>
    </w:p>
    <w:p>
      <w:pPr>
        <w:pStyle w:val="618"/>
        <w:jc w:val="cente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Communication au consommateur en application des articles L111-11et suivants du code de la consommation,</w:t>
      </w:r>
      <w:r/>
    </w:p>
    <w:p>
      <w:pPr>
        <w:pStyle w:val="618"/>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t xml:space="preserve">Le professionnel prestataire de services avec lequel vous entrez en relation vous informe.</w:t>
      </w:r>
      <w:r/>
    </w:p>
    <w:p>
      <w:pPr>
        <w:pStyle w:val="61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rPr>
      </w:pPr>
      <w:r>
        <w:rPr>
          <w:rFonts w:ascii="Times New Roman" w:hAnsi="Times New Roman" w:eastAsia="Times New Roman"/>
        </w:rPr>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i/>
        </w:rPr>
      </w:pPr>
      <w:r>
        <w:rPr>
          <w:rFonts w:ascii="Times New Roman" w:hAnsi="Times New Roman" w:eastAsia="Times New Roman"/>
          <w:b/>
          <w:i/>
          <w:sz w:val="28"/>
        </w:rPr>
        <w:t xml:space="preserve">S.A.R.L. Maisons en Périgord</w:t>
      </w:r>
      <w:r>
        <w:rPr>
          <w:rFonts w:ascii="Times New Roman" w:hAnsi="Times New Roman" w:eastAsia="Times New Roman"/>
          <w:i/>
        </w:rPr>
        <w:t xml:space="preserve"> au capital social de 7.622 euros, sise 11, Rue du IV Septembre -</w:t>
      </w:r>
      <w:r/>
    </w:p>
    <w:p>
      <w:pPr>
        <w:pStyle w:val="618"/>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u w:val="single"/>
        </w:rPr>
      </w:pPr>
      <w:r>
        <w:rPr>
          <w:rFonts w:ascii="Times New Roman" w:hAnsi="Times New Roman" w:eastAsia="Times New Roman"/>
          <w:i/>
        </w:rPr>
        <w:t xml:space="preserve">24290 MONTIGNAC, </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r/>
    </w:p>
    <w:p>
      <w:pPr>
        <w:pStyle w:val="618"/>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olor w:val="000000"/>
        </w:rPr>
      </w:pPr>
      <w:r>
        <w:rPr>
          <w:rFonts w:ascii="Times New Roman" w:hAnsi="Times New Roman" w:eastAsia="Times New Roman"/>
          <w:b/>
          <w:color w:val="000000"/>
          <w:u w:val="single"/>
        </w:rPr>
        <w:t xml:space="preserve">Transactions sur immeubles et fonds de commerce</w:t>
      </w:r>
      <w:r>
        <w:rPr>
          <w:rFonts w:ascii="Times New Roman" w:hAnsi="Times New Roman" w:eastAsia="Times New Roman"/>
          <w:color w:val="000000"/>
        </w:rPr>
        <w:t xml:space="preserve"> loi n°70-9 du 02/01/1970.</w:t>
      </w:r>
      <w:r/>
    </w:p>
    <w:p>
      <w:pPr>
        <w:pStyle w:val="617"/>
        <w:widowControl/>
        <w:rPr>
          <w:rFonts w:ascii="Times New Roman" w:hAnsi="Times New Roman" w:eastAsia="Times New Roman"/>
          <w:i/>
          <w:sz w:val="20"/>
        </w:rPr>
      </w:pPr>
      <w:r>
        <w:rPr>
          <w:rFonts w:ascii="Times New Roman" w:hAnsi="Times New Roman" w:eastAsia="Times New Roman"/>
          <w:i/>
          <w:sz w:val="20"/>
        </w:rPr>
      </w:r>
      <w:r/>
    </w:p>
    <w:p>
      <w:pPr>
        <w:pStyle w:val="617"/>
        <w:widowControl/>
        <w:rPr>
          <w:rFonts w:ascii="Times New Roman" w:hAnsi="Times New Roman" w:eastAsia="Times New Roman"/>
          <w:sz w:val="20"/>
        </w:rPr>
      </w:pPr>
      <w:r>
        <w:rPr>
          <w:rFonts w:ascii="Times New Roman" w:hAnsi="Times New Roman" w:eastAsia="Times New Roman"/>
          <w:sz w:val="20"/>
        </w:rPr>
        <w:t xml:space="preserve">Tel:05.53.51.95.23  - email : </w:t>
        <w:tab/>
        <w:t xml:space="preserve">mperigord@wanadoo.fr </w:t>
        <w:tab/>
        <w:t xml:space="preserve">site : www.maisonsenperigord.net</w:t>
      </w:r>
      <w:r/>
    </w:p>
    <w:p>
      <w:pPr>
        <w:pStyle w:val="617"/>
        <w:widowControl/>
        <w:rPr>
          <w:rFonts w:ascii="Times New Roman" w:hAnsi="Times New Roman" w:eastAsia="Times New Roman"/>
          <w:sz w:val="20"/>
        </w:rPr>
      </w:pPr>
      <w:r>
        <w:rPr>
          <w:rFonts w:ascii="Times New Roman" w:hAnsi="Times New Roman" w:eastAsia="Times New Roman"/>
          <w:sz w:val="20"/>
        </w:rPr>
        <w:t xml:space="preserve">Représentée par : Monsieur Ludovic MONS.</w:t>
      </w:r>
      <w:r/>
    </w:p>
    <w:p>
      <w:pPr>
        <w:pStyle w:val="617"/>
        <w:widowControl/>
        <w:rPr>
          <w:rFonts w:ascii="Times New Roman" w:hAnsi="Times New Roman" w:eastAsia="Times New Roman"/>
          <w:sz w:val="20"/>
        </w:rPr>
      </w:pPr>
      <w:r>
        <w:rPr>
          <w:rFonts w:ascii="Times New Roman" w:hAnsi="Times New Roman" w:eastAsia="Times New Roman"/>
          <w:sz w:val="20"/>
        </w:rPr>
        <w:t xml:space="preserve">------</w:t>
      </w:r>
      <w:r/>
    </w:p>
    <w:p>
      <w:pPr>
        <w:pStyle w:val="617"/>
        <w:widowControl/>
        <w:rPr>
          <w:rFonts w:ascii="Times New Roman" w:hAnsi="Times New Roman" w:eastAsia="Times New Roman"/>
          <w:sz w:val="20"/>
        </w:rPr>
      </w:pPr>
      <w:r>
        <w:rPr>
          <w:rFonts w:ascii="Times New Roman" w:hAnsi="Times New Roman" w:eastAsia="Times New Roman"/>
          <w:sz w:val="20"/>
        </w:rPr>
        <w:t xml:space="preserve">Le (les) consommateur (s):</w:t>
      </w:r>
      <w:r/>
    </w:p>
    <w:p>
      <w:pPr>
        <w:pStyle w:val="617"/>
        <w:widowControl/>
        <w:rPr>
          <w:rFonts w:ascii="Times New Roman" w:hAnsi="Times New Roman" w:eastAsia="Times New Roman"/>
          <w:sz w:val="20"/>
        </w:rPr>
      </w:pPr>
      <w:r>
        <w:rPr>
          <w:rFonts w:ascii="Times New Roman" w:hAnsi="Times New Roman" w:eastAsia="Times New Roman"/>
          <w:sz w:val="20"/>
        </w:rPr>
      </w:r>
      <w:r/>
    </w:p>
    <w:p>
      <w:pPr>
        <w:pStyle w:val="617"/>
        <w:widowControl/>
        <w:rPr>
          <w:rFonts w:ascii="Times New Roman" w:hAnsi="Times New Roman" w:eastAsia="Times New Roman"/>
          <w:b/>
          <w:sz w:val="20"/>
        </w:rPr>
      </w:pPr>
      <w:r>
        <w:rPr>
          <w:rFonts w:ascii="Times New Roman" w:hAnsi="Times New Roman" w:eastAsia="Times New Roman"/>
          <w:b/>
          <w:sz w:val="20"/>
          <w:shd w:val="clear" w:color="auto" w:fill="c0c0c0"/>
        </w:rPr>
        <w:t xml:space="preserve"> Mr Daniel PEYRATOUT                                       </w:t>
      </w:r>
      <w:r/>
    </w:p>
    <w:p>
      <w:pPr>
        <w:pStyle w:val="617"/>
        <w:widowControl/>
        <w:rPr>
          <w:rFonts w:ascii="Times New Roman" w:hAnsi="Times New Roman" w:eastAsia="Times New Roman"/>
          <w:sz w:val="20"/>
        </w:rPr>
      </w:pPr>
      <w:r>
        <w:rPr>
          <w:rFonts w:ascii="Times New Roman" w:hAnsi="Times New Roman" w:eastAsia="Times New Roman"/>
          <w:sz w:val="20"/>
        </w:rPr>
        <w:t xml:space="preserv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Votre interlocuteur exerce l'activité d'entremise sur les immeubles et fonds de commerce, conformément à la loi n°70-9 du 2 janvier 1970 dite loi Hoguet et au décret n°72-678 du 20 juillet 1972, consultables sur le site www.legifrance.gouv.fr</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Le service proposé consiste en </w:t>
      </w:r>
      <w:r>
        <w:t xml:space="preserve">: la vente d'un bien.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b/>
        </w:rPr>
        <w:t xml:space="preserve">Durée du mandat </w:t>
      </w:r>
      <w:r>
        <w:t xml:space="preserve">: 12 mois comprenant une première période irrévocable de 3 mois.</w:t>
      </w:r>
      <w:r/>
    </w:p>
    <w:p>
      <w:pPr>
        <w:pStyle w:val="617"/>
        <w:widowControl/>
      </w:pPr>
      <w:r>
        <w:rPr>
          <w:b/>
          <w:sz w:val="20"/>
        </w:rPr>
        <w:t xml:space="preserve">Modalités de dénonciation</w:t>
      </w:r>
      <w:r>
        <w:rPr>
          <w:b/>
        </w:rPr>
        <w:t xml:space="preserve"> </w:t>
      </w:r>
      <w:r>
        <w:t xml:space="preserve">: </w:t>
      </w:r>
      <w:r>
        <w:rPr>
          <w:sz w:val="20"/>
        </w:rPr>
        <w:t xml:space="preserve">par lettre recommandée avec demande d'avis de réception (LRAR) préavis 15jours.</w:t>
      </w:r>
      <w:r/>
    </w:p>
    <w:p>
      <w:pPr>
        <w:pStyle w:val="617"/>
        <w:widowControl/>
        <w:rPr>
          <w:rFonts w:ascii="Times New Roman" w:hAnsi="Times New Roman" w:eastAsia="Times New Roman"/>
          <w:sz w:val="20"/>
        </w:rPr>
      </w:pPr>
      <w:r>
        <w:rPr>
          <w:rFonts w:ascii="Times New Roman" w:hAnsi="Times New Roman" w:eastAsia="Times New Roman"/>
          <w:b/>
          <w:sz w:val="20"/>
        </w:rPr>
        <w:t xml:space="preserve">Honoraires</w:t>
      </w:r>
      <w:r>
        <w:rPr>
          <w:rFonts w:ascii="Times New Roman" w:hAnsi="Times New Roman" w:eastAsia="Times New Roman"/>
          <w:sz w:val="20"/>
        </w:rPr>
        <w:t xml:space="preserve">, en cas de plaine réussite de la mission confiée : 6.00% TTC soit 15 600 €</w:t>
      </w:r>
      <w:r/>
    </w:p>
    <w:p>
      <w:pPr>
        <w:pStyle w:val="617"/>
        <w:widowControl/>
        <w:rPr>
          <w:rFonts w:ascii="Times New Roman" w:hAnsi="Times New Roman" w:eastAsia="Times New Roman"/>
          <w:sz w:val="20"/>
        </w:rPr>
      </w:pPr>
      <w:r>
        <w:rPr>
          <w:rFonts w:ascii="Times New Roman" w:hAnsi="Times New Roman" w:eastAsia="Times New Roman"/>
          <w:b/>
          <w:sz w:val="20"/>
        </w:rPr>
        <w:t xml:space="preserve">Modalités de règlement </w:t>
      </w:r>
      <w:r>
        <w:rPr>
          <w:rFonts w:ascii="Times New Roman" w:hAnsi="Times New Roman" w:eastAsia="Times New Roman"/>
          <w:sz w:val="20"/>
        </w:rPr>
        <w:t xml:space="preserve">: virement.</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Droit de Rétractation</w:t>
      </w:r>
      <w:r>
        <w:rPr>
          <w:rFonts w:ascii="Times New Roman" w:hAnsi="Times New Roman" w:eastAsia="Times New Roman"/>
        </w:rPr>
        <w:t xml:space="preserve"> : </w:t>
      </w:r>
      <w:r>
        <w:t xml:space="preserve">Si le mandat est signé 'hors établissement' ou ' à distance' le mandant pourra se rétracter pendant un délai de 14 jours à compter de la signat</w:t>
      </w:r>
      <w: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mandant pourra, s'il le souhaite, lors de la signature du mandat, demander à ce que le mandataire commence ses pres</w:t>
      </w:r>
      <w: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17"/>
        <w:widowControl/>
        <w:rPr>
          <w:sz w:val="20"/>
        </w:rPr>
      </w:pPr>
      <w:r>
        <w:rPr>
          <w:sz w:val="20"/>
        </w:rPr>
        <w:t xml:space="preserve">Si le mandat est signé à l'agence, le mandant ne bénéficie d'aucun délai de rétractation.</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rPr>
          <w:rFonts w:ascii="Times New Roman" w:hAnsi="Times New Roman" w:eastAsia="Times New Roman"/>
          <w:b/>
        </w:rPr>
        <w:t xml:space="preserve">Prévention et règlement des litiges </w:t>
      </w:r>
      <w:r>
        <w:rPr>
          <w:rFonts w:ascii="Times New Roman" w:hAnsi="Times New Roman" w:eastAsia="Times New Roman"/>
        </w:rPr>
        <w:t xml:space="preserve">: </w:t>
      </w:r>
      <w:r>
        <w:t xml:space="preserve">Pour toute éventuelle réclamation, nous vous remercions de le faire à votre choix par courrier à notre adresse postale en tête des présentes, par téléphone, ou par mail; nous la traiterons dans les meilleurs délais.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En cas de litige, la législation applicable sera la loi française et la juridiction compétente celle du lieu du domicile du mandataire.</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Code de la consommation, article L.133-4</w:t>
      </w:r>
      <w: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pStyle w:val="618"/>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pPr>
      <w:r>
        <w:t xml:space="preserve">Le consommateur reconnait avoir pris connaissance de l'ensemble des conditions générales et particulières du mandat proposé, par la remise préalable qui lui a été faite d'un exemplaire.</w:t>
      </w:r>
      <w:r/>
    </w:p>
    <w:p>
      <w:pPr>
        <w:pStyle w:val="617"/>
        <w:widowControl/>
        <w:rPr>
          <w:rFonts w:ascii="Times New Roman" w:hAnsi="Times New Roman" w:eastAsia="Times New Roman"/>
          <w:b/>
          <w:sz w:val="20"/>
        </w:rPr>
      </w:pPr>
      <w:r>
        <w:rPr>
          <w:rFonts w:ascii="Times New Roman" w:hAnsi="Times New Roman" w:eastAsia="Times New Roman"/>
          <w:b/>
          <w:sz w:val="20"/>
        </w:rPr>
      </w:r>
      <w:r/>
    </w:p>
    <w:p>
      <w:pPr>
        <w:pStyle w:val="617"/>
        <w:widowControl/>
        <w:rPr>
          <w:rFonts w:ascii="Times New Roman" w:hAnsi="Times New Roman" w:eastAsia="Times New Roman"/>
          <w:b/>
          <w:sz w:val="20"/>
        </w:rPr>
      </w:pPr>
      <w:r>
        <w:rPr>
          <w:rFonts w:ascii="Times New Roman" w:hAnsi="Times New Roman" w:eastAsia="Times New Roman"/>
          <w:b/>
          <w:sz w:val="20"/>
        </w:rPr>
      </w:r>
      <w:r/>
    </w:p>
    <w:p>
      <w:pPr>
        <w:pStyle w:val="617"/>
        <w:widowControl/>
        <w:rPr>
          <w:rFonts w:ascii="Times New Roman" w:hAnsi="Times New Roman" w:eastAsia="Times New Roman"/>
          <w:sz w:val="20"/>
        </w:rPr>
      </w:pPr>
      <w:r>
        <w:rPr>
          <w:rFonts w:ascii="Times New Roman" w:hAnsi="Times New Roman" w:eastAsia="Times New Roman"/>
          <w:b/>
          <w:sz w:val="20"/>
        </w:rPr>
        <w:t xml:space="preserve">Fait à Montignac, le 2 mai 2024, </w:t>
      </w:r>
      <w:r>
        <w:rPr>
          <w:rFonts w:ascii="Times New Roman" w:hAnsi="Times New Roman" w:eastAsia="Times New Roman"/>
          <w:sz w:val="20"/>
        </w:rPr>
        <w:t xml:space="preserve">en 2 exemplaires dont un remis à chacune des parties.</w:t>
      </w:r>
      <w:r/>
    </w:p>
    <w:p>
      <w:pPr>
        <w:pStyle w:val="617"/>
        <w:widowControl/>
        <w:rPr>
          <w:rFonts w:ascii="Times New Roman" w:hAnsi="Times New Roman" w:eastAsia="Times New Roman"/>
          <w:sz w:val="20"/>
        </w:rPr>
      </w:pPr>
      <w:r>
        <w:rPr>
          <w:rFonts w:ascii="Times New Roman" w:hAnsi="Times New Roman" w:eastAsia="Times New Roman"/>
          <w:sz w:val="20"/>
        </w:rPr>
      </w:r>
      <w:r/>
    </w:p>
    <w:p>
      <w:pPr>
        <w:pStyle w:val="617"/>
        <w:widowControl/>
        <w:rPr>
          <w:rFonts w:ascii="Times New Roman" w:hAnsi="Times New Roman" w:eastAsia="Times New Roman"/>
          <w:sz w:val="20"/>
        </w:rPr>
      </w:pPr>
      <w:r>
        <w:rPr>
          <w:rFonts w:ascii="Times New Roman" w:hAnsi="Times New Roman" w:eastAsia="Times New Roman"/>
          <w:sz w:val="20"/>
        </w:rPr>
        <w:t xml:space="preserve">Signature(s) du (des) consommateur(s).</w:t>
        <w:tab/>
        <w:tab/>
        <w:tab/>
        <w:t xml:space="preserve">Signature du mandataire.</w:t>
      </w:r>
      <w:r/>
    </w:p>
    <w:p>
      <w:pPr>
        <w:pStyle w:val="617"/>
        <w:widowControl/>
        <w:rPr>
          <w:rFonts w:ascii="Times New Roman" w:hAnsi="Times New Roman" w:eastAsia="Times New Roman"/>
          <w:sz w:val="20"/>
        </w:rPr>
      </w:pPr>
      <w:r>
        <w:rPr>
          <w:rFonts w:ascii="Times New Roman" w:hAnsi="Times New Roman" w:eastAsia="Times New Roman"/>
          <w:sz w:val="20"/>
        </w:rPr>
      </w:r>
      <w:r/>
    </w:p>
    <w:sectPr>
      <w:footerReference w:type="default" r:id="rId9"/>
      <w:footnotePr/>
      <w:endnotePr/>
      <w:type w:val="nextPage"/>
      <w:pgSz w:w="11903" w:h="16837" w:orient="portrait"/>
      <w:pgMar w:top="284" w:right="1418" w:bottom="1418" w:left="625"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Calibri Light">
    <w:panose1 w:val="020F0302020204030203"/>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9"/>
      <w:jc w:val="right"/>
      <w:tabs>
        <w:tab w:val="right" w:pos="9860" w:leader="none"/>
        <w:tab w:val="clear" w:pos="14287" w:leader="none"/>
      </w:tabs>
    </w:pPr>
    <w:r>
      <w:fldChar w:fldCharType="begin"/>
    </w:r>
    <w:r>
      <w:instrText xml:space="preserve"> PAGE \* Arabic \* MERGEFORMAT </w:instrText>
    </w:r>
    <w:r>
      <w:fldChar w:fldCharType="separate"/>
    </w:r>
    <w:r>
      <w:t xml:space="preserve">5</w:t>
    </w:r>
    <w:r>
      <w:fldChar w:fldCharType="end"/>
    </w:r>
    <w:r/>
  </w:p>
  <w:p>
    <w:pPr>
      <w:pStyle w:val="619"/>
      <w:tabs>
        <w:tab w:val="right" w:pos="9860" w:leader="none"/>
        <w:tab w:val="clear" w:pos="14287" w:leader="none"/>
      </w:tabs>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65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617" w:default="1">
    <w:name w:val="[Normal]"/>
    <w:next w:val="617"/>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18">
    <w:name w:val="Normal"/>
    <w:next w:val="618"/>
    <w:qFormat/>
    <w:pPr>
      <w:ind w:left="0" w:right="0" w:firstLine="0"/>
      <w:jc w:val="left"/>
      <w:spacing w:before="0" w:after="0" w:line="240" w:lineRule="auto"/>
      <w:widowControl/>
    </w:pPr>
    <w:rPr>
      <w:rFonts w:ascii="Arial" w:hAnsi="Arial" w:eastAsia="Arial"/>
      <w:b w:val="0"/>
      <w:i w:val="0"/>
      <w:strike w:val="0"/>
      <w:color w:val="auto"/>
      <w:sz w:val="20"/>
      <w:shd w:val="clear" w:color="auto" w:fill="auto"/>
    </w:rPr>
  </w:style>
  <w:style w:type="paragraph" w:styleId="619">
    <w:name w:val="Footer"/>
    <w:basedOn w:val="618"/>
    <w:next w:val="619"/>
    <w:qFormat/>
    <w:pPr>
      <w:tabs>
        <w:tab w:val="center" w:pos="7143" w:leader="none"/>
        <w:tab w:val="right" w:pos="14287" w:leader="none"/>
      </w:tabs>
    </w:pPr>
  </w:style>
  <w:style w:type="paragraph" w:styleId="620">
    <w:name w:val="Heading 2"/>
    <w:basedOn w:val="618"/>
    <w:next w:val="618"/>
    <w:qFormat/>
    <w:pPr>
      <w:jc w:val="center"/>
    </w:pPr>
    <w:rPr>
      <w:sz w:val="24"/>
    </w:rPr>
  </w:style>
  <w:style w:type="paragraph" w:styleId="621">
    <w:name w:val="Heading 4"/>
    <w:basedOn w:val="618"/>
    <w:next w:val="618"/>
    <w:qFormat/>
    <w:pPr>
      <w:keepLines/>
      <w:keepNext/>
      <w:spacing w:before="320" w:after="200"/>
    </w:pPr>
    <w:rPr>
      <w:b/>
      <w:sz w:val="26"/>
    </w:rPr>
  </w:style>
  <w:style w:type="paragraph" w:styleId="622">
    <w:name w:val="Heading 5"/>
    <w:basedOn w:val="618"/>
    <w:next w:val="618"/>
    <w:qFormat/>
    <w:pPr>
      <w:keepLines/>
      <w:keepNext/>
      <w:spacing w:before="320" w:after="200"/>
    </w:pPr>
    <w:rPr>
      <w:b/>
      <w:sz w:val="24"/>
    </w:rPr>
  </w:style>
  <w:style w:type="paragraph" w:styleId="623">
    <w:name w:val="Heading 6"/>
    <w:basedOn w:val="618"/>
    <w:next w:val="618"/>
    <w:qFormat/>
    <w:pPr>
      <w:keepLines/>
      <w:keepNext/>
      <w:spacing w:before="320" w:after="200"/>
    </w:pPr>
    <w:rPr>
      <w:b/>
      <w:sz w:val="22"/>
    </w:rPr>
  </w:style>
  <w:style w:type="paragraph" w:styleId="624">
    <w:name w:val="Heading 7"/>
    <w:basedOn w:val="618"/>
    <w:next w:val="618"/>
    <w:qFormat/>
    <w:pPr>
      <w:keepLines/>
      <w:keepNext/>
      <w:spacing w:before="320" w:after="200"/>
    </w:pPr>
    <w:rPr>
      <w:b/>
      <w:i/>
      <w:sz w:val="22"/>
    </w:rPr>
  </w:style>
  <w:style w:type="paragraph" w:styleId="625">
    <w:name w:val="Heading 8"/>
    <w:basedOn w:val="618"/>
    <w:next w:val="618"/>
    <w:qFormat/>
    <w:pPr>
      <w:keepLines/>
      <w:keepNext/>
      <w:spacing w:before="320" w:after="200"/>
    </w:pPr>
    <w:rPr>
      <w:i/>
      <w:sz w:val="22"/>
    </w:rPr>
  </w:style>
  <w:style w:type="paragraph" w:styleId="626">
    <w:name w:val="Heading 9"/>
    <w:basedOn w:val="618"/>
    <w:next w:val="618"/>
    <w:qFormat/>
    <w:pPr>
      <w:keepLines/>
      <w:keepNext/>
      <w:spacing w:before="320" w:after="200"/>
    </w:pPr>
    <w:rPr>
      <w:i/>
      <w:sz w:val="21"/>
    </w:rPr>
  </w:style>
  <w:style w:type="paragraph" w:styleId="627">
    <w:name w:val="List Paragraph"/>
    <w:basedOn w:val="618"/>
    <w:next w:val="627"/>
    <w:qFormat/>
    <w:pPr>
      <w:ind w:left="720"/>
    </w:pPr>
  </w:style>
  <w:style w:type="paragraph" w:styleId="628">
    <w:name w:val="Title"/>
    <w:basedOn w:val="618"/>
    <w:next w:val="618"/>
    <w:qFormat/>
    <w:pPr>
      <w:spacing w:before="300" w:after="200"/>
    </w:pPr>
    <w:rPr>
      <w:sz w:val="48"/>
    </w:rPr>
  </w:style>
  <w:style w:type="paragraph" w:styleId="629">
    <w:name w:val="Subtitle"/>
    <w:basedOn w:val="618"/>
    <w:next w:val="618"/>
    <w:qFormat/>
    <w:pPr>
      <w:spacing w:before="200" w:after="200"/>
    </w:pPr>
    <w:rPr>
      <w:sz w:val="24"/>
    </w:rPr>
  </w:style>
  <w:style w:type="paragraph" w:styleId="630">
    <w:name w:val="Quote"/>
    <w:basedOn w:val="618"/>
    <w:next w:val="618"/>
    <w:qFormat/>
    <w:pPr>
      <w:ind w:left="720" w:right="720"/>
    </w:pPr>
    <w:rPr>
      <w:i/>
    </w:rPr>
  </w:style>
  <w:style w:type="paragraph" w:styleId="631">
    <w:name w:val="Intense Quote"/>
    <w:basedOn w:val="618"/>
    <w:next w:val="618"/>
    <w:qFormat/>
    <w:pPr>
      <w:ind w:left="720" w:right="720"/>
      <w:pBdr>
        <w:top w:val="single" w:color="000000" w:sz="4" w:space="5"/>
        <w:left w:val="single" w:color="000000" w:sz="4" w:space="5"/>
        <w:bottom w:val="single" w:color="000000" w:sz="4" w:space="5"/>
        <w:right w:val="single" w:color="000000" w:sz="4" w:space="5"/>
      </w:pBdr>
    </w:pPr>
    <w:rPr>
      <w:i/>
      <w:shd w:val="clear" w:color="auto" w:fill="f2f2f2"/>
    </w:rPr>
  </w:style>
  <w:style w:type="paragraph" w:styleId="632">
    <w:name w:val="Header"/>
    <w:basedOn w:val="618"/>
    <w:next w:val="632"/>
    <w:qFormat/>
    <w:pPr>
      <w:tabs>
        <w:tab w:val="center" w:pos="7143" w:leader="none"/>
        <w:tab w:val="right" w:pos="14287" w:leader="none"/>
      </w:tabs>
    </w:pPr>
  </w:style>
  <w:style w:type="paragraph" w:styleId="633">
    <w:name w:val="Caption"/>
    <w:basedOn w:val="618"/>
    <w:next w:val="618"/>
    <w:qFormat/>
    <w:pPr>
      <w:spacing w:line="276" w:lineRule="auto"/>
    </w:pPr>
    <w:rPr>
      <w:b/>
      <w:color w:val="4f81bd"/>
      <w:sz w:val="18"/>
    </w:rPr>
  </w:style>
  <w:style w:type="paragraph" w:styleId="634">
    <w:name w:val="footnote text"/>
    <w:basedOn w:val="618"/>
    <w:next w:val="634"/>
    <w:qFormat/>
    <w:pPr>
      <w:spacing w:after="40"/>
    </w:pPr>
    <w:rPr>
      <w:sz w:val="18"/>
    </w:rPr>
  </w:style>
  <w:style w:type="paragraph" w:styleId="635">
    <w:name w:val="endnote text"/>
    <w:basedOn w:val="618"/>
    <w:next w:val="635"/>
    <w:qFormat/>
  </w:style>
  <w:style w:type="paragraph" w:styleId="636">
    <w:name w:val="toc 1"/>
    <w:basedOn w:val="618"/>
    <w:next w:val="618"/>
    <w:qFormat/>
    <w:pPr>
      <w:spacing w:after="57"/>
    </w:pPr>
  </w:style>
  <w:style w:type="paragraph" w:styleId="637">
    <w:name w:val="toc 2"/>
    <w:basedOn w:val="618"/>
    <w:next w:val="618"/>
    <w:qFormat/>
    <w:pPr>
      <w:ind w:left="283"/>
      <w:spacing w:after="57"/>
    </w:pPr>
  </w:style>
  <w:style w:type="paragraph" w:styleId="638">
    <w:name w:val="toc 3"/>
    <w:basedOn w:val="618"/>
    <w:next w:val="618"/>
    <w:qFormat/>
    <w:pPr>
      <w:ind w:left="567"/>
      <w:spacing w:after="57"/>
    </w:pPr>
  </w:style>
  <w:style w:type="paragraph" w:styleId="639">
    <w:name w:val="toc 4"/>
    <w:basedOn w:val="618"/>
    <w:next w:val="618"/>
    <w:qFormat/>
    <w:pPr>
      <w:ind w:left="850"/>
      <w:spacing w:after="57"/>
    </w:pPr>
  </w:style>
  <w:style w:type="paragraph" w:styleId="640">
    <w:name w:val="toc 5"/>
    <w:basedOn w:val="618"/>
    <w:next w:val="618"/>
    <w:qFormat/>
    <w:pPr>
      <w:ind w:left="1134"/>
      <w:spacing w:after="57"/>
    </w:pPr>
  </w:style>
  <w:style w:type="paragraph" w:styleId="641">
    <w:name w:val="toc 6"/>
    <w:basedOn w:val="618"/>
    <w:next w:val="618"/>
    <w:qFormat/>
    <w:pPr>
      <w:ind w:left="1417"/>
      <w:spacing w:after="57"/>
    </w:pPr>
  </w:style>
  <w:style w:type="paragraph" w:styleId="642">
    <w:name w:val="toc 7"/>
    <w:basedOn w:val="618"/>
    <w:next w:val="618"/>
    <w:qFormat/>
    <w:pPr>
      <w:ind w:left="1701"/>
      <w:spacing w:after="57"/>
    </w:pPr>
  </w:style>
  <w:style w:type="paragraph" w:styleId="643">
    <w:name w:val="toc 8"/>
    <w:basedOn w:val="618"/>
    <w:next w:val="618"/>
    <w:qFormat/>
    <w:pPr>
      <w:ind w:left="1984"/>
      <w:spacing w:after="57"/>
    </w:pPr>
  </w:style>
  <w:style w:type="paragraph" w:styleId="644">
    <w:name w:val="toc 9"/>
    <w:basedOn w:val="618"/>
    <w:next w:val="618"/>
    <w:qFormat/>
    <w:pPr>
      <w:ind w:left="2268"/>
      <w:spacing w:after="57"/>
    </w:pPr>
  </w:style>
  <w:style w:type="paragraph" w:styleId="645">
    <w:name w:val="table of figures"/>
    <w:basedOn w:val="618"/>
    <w:next w:val="618"/>
    <w:qFormat/>
  </w:style>
  <w:style w:type="paragraph" w:styleId="646">
    <w:name w:val="Heading 1"/>
    <w:basedOn w:val="618"/>
    <w:next w:val="618"/>
    <w:qFormat/>
    <w:rPr>
      <w:sz w:val="24"/>
    </w:rPr>
  </w:style>
  <w:style w:type="paragraph" w:styleId="647">
    <w:name w:val="Heading 3"/>
    <w:basedOn w:val="618"/>
    <w:next w:val="618"/>
    <w:qFormat/>
    <w:pPr>
      <w:jc w:val="center"/>
    </w:pPr>
    <w:rPr>
      <w:rFonts w:ascii="Times New Roman" w:hAnsi="Times New Roman" w:eastAsia="Times New Roman"/>
      <w:b/>
    </w:rPr>
  </w:style>
  <w:style w:type="paragraph" w:styleId="648">
    <w:name w:val="Body Text 2"/>
    <w:basedOn w:val="618"/>
    <w:next w:val="648"/>
    <w:qFormat/>
    <w:pPr>
      <w:jc w:val="both"/>
    </w:pPr>
    <w:rPr>
      <w:rFonts w:ascii="Times New Roman" w:hAnsi="Times New Roman" w:eastAsia="Times New Roman"/>
      <w:sz w:val="22"/>
    </w:rPr>
  </w:style>
  <w:style w:type="paragraph" w:styleId="649">
    <w:name w:val="Body Text 3"/>
    <w:basedOn w:val="618"/>
    <w:next w:val="649"/>
    <w:qFormat/>
    <w:rPr>
      <w:rFonts w:ascii="Times New Roman" w:hAnsi="Times New Roman" w:eastAsia="Times New Roman"/>
      <w:b/>
      <w:sz w:val="22"/>
    </w:rPr>
  </w:style>
  <w:style w:type="paragraph" w:styleId="650">
    <w:name w:val="Body Text"/>
    <w:basedOn w:val="618"/>
    <w:next w:val="650"/>
    <w:qFormat/>
    <w:pPr>
      <w:tabs>
        <w:tab w:val="left" w:pos="5103" w:leader="none"/>
      </w:tabs>
    </w:pPr>
    <w:rPr>
      <w:b/>
      <w:color w:val="0000ff"/>
      <w:sz w:val="24"/>
    </w:rPr>
  </w:style>
  <w:style w:type="paragraph" w:styleId="651">
    <w:name w:val="Détail"/>
    <w:basedOn w:val="618"/>
    <w:next w:val="651"/>
    <w:qFormat/>
  </w:style>
  <w:style w:type="paragraph" w:styleId="652">
    <w:name w:val="Type de détail"/>
    <w:basedOn w:val="618"/>
    <w:next w:val="651"/>
    <w:qFormat/>
    <w:rPr>
      <w:b/>
      <w:u w:val="single"/>
    </w:rPr>
  </w:style>
  <w:style w:type="paragraph" w:styleId="653">
    <w:name w:val="Titre arial 14 pts gras"/>
    <w:basedOn w:val="618"/>
    <w:next w:val="653"/>
    <w:qFormat/>
    <w:rPr>
      <w:b/>
      <w:sz w:val="28"/>
    </w:rPr>
  </w:style>
  <w:style w:type="paragraph" w:styleId="654">
    <w:name w:val="Enumeration arial 10 pts"/>
    <w:basedOn w:val="618"/>
    <w:next w:val="654"/>
    <w:qFormat/>
    <w:pPr>
      <w:numPr>
        <w:ilvl w:val="0"/>
        <w:numId w:val="1"/>
      </w:numPr>
      <w:ind w:left="360" w:hanging="360"/>
      <w:tabs>
        <w:tab w:val="left" w:pos="360" w:leader="none"/>
      </w:tabs>
    </w:pPr>
  </w:style>
  <w:style w:type="paragraph" w:styleId="655">
    <w:name w:val="align droite 2cm"/>
    <w:basedOn w:val="618"/>
    <w:next w:val="655"/>
    <w:qFormat/>
  </w:style>
  <w:style w:type="paragraph" w:styleId="656">
    <w:name w:val="Adresse"/>
    <w:basedOn w:val="618"/>
    <w:next w:val="656"/>
    <w:qFormat/>
    <w:pPr>
      <w:ind w:left="5103"/>
    </w:pPr>
  </w:style>
  <w:style w:type="paragraph" w:styleId="657">
    <w:name w:val="List Paragraph PHPDOCX"/>
    <w:basedOn w:val="618"/>
    <w:next w:val="657"/>
    <w:qFormat/>
    <w:pPr>
      <w:ind w:left="720"/>
    </w:pPr>
  </w:style>
  <w:style w:type="paragraph" w:styleId="658">
    <w:name w:val="Title PHPDOCX"/>
    <w:basedOn w:val="618"/>
    <w:next w:val="618"/>
    <w:qFormat/>
    <w:pPr>
      <w:spacing w:after="300"/>
      <w:pBdr>
        <w:top w:val="none" w:color="000000" w:sz="4" w:space="0"/>
        <w:left w:val="none" w:color="000000" w:sz="4" w:space="0"/>
        <w:bottom w:val="single" w:color="000000" w:sz="8" w:space="4"/>
        <w:right w:val="none" w:color="000000" w:sz="4" w:space="0"/>
      </w:pBdr>
    </w:pPr>
    <w:rPr>
      <w:rFonts w:ascii="Calibri Light" w:hAnsi="Calibri Light" w:eastAsia="Calibri Light"/>
      <w:color w:val="17365d"/>
      <w:sz w:val="52"/>
    </w:rPr>
  </w:style>
  <w:style w:type="paragraph" w:styleId="659">
    <w:name w:val="Subtitle PHPDOCX"/>
    <w:basedOn w:val="618"/>
    <w:next w:val="618"/>
    <w:qFormat/>
    <w:rPr>
      <w:rFonts w:ascii="Calibri Light" w:hAnsi="Calibri Light" w:eastAsia="Calibri Light"/>
      <w:i/>
      <w:color w:val="4f81bd"/>
      <w:sz w:val="24"/>
    </w:rPr>
  </w:style>
  <w:style w:type="paragraph" w:styleId="660">
    <w:name w:val="annotation text PHPDOCX"/>
    <w:basedOn w:val="618"/>
    <w:next w:val="660"/>
    <w:qFormat/>
  </w:style>
  <w:style w:type="paragraph" w:styleId="661">
    <w:name w:val="annotation subject PHPDOCX"/>
    <w:basedOn w:val="660"/>
    <w:next w:val="660"/>
    <w:qFormat/>
    <w:rPr>
      <w:b/>
    </w:rPr>
  </w:style>
  <w:style w:type="paragraph" w:styleId="662">
    <w:name w:val="Balloon Text PHPDOCX"/>
    <w:basedOn w:val="618"/>
    <w:next w:val="662"/>
    <w:qFormat/>
    <w:rPr>
      <w:rFonts w:ascii="Tahoma" w:hAnsi="Tahoma" w:eastAsia="Tahoma"/>
      <w:sz w:val="16"/>
    </w:rPr>
  </w:style>
  <w:style w:type="paragraph" w:styleId="663">
    <w:name w:val="footnote Text PHPDOCX"/>
    <w:basedOn w:val="618"/>
    <w:next w:val="663"/>
    <w:qFormat/>
  </w:style>
  <w:style w:type="paragraph" w:styleId="664">
    <w:name w:val="endnote Text PHPDOCX"/>
    <w:basedOn w:val="618"/>
    <w:next w:val="664"/>
    <w:qFormat/>
  </w:style>
  <w:style w:type="character" w:styleId="665" w:default="1">
    <w:name w:val="Default Paragraph Font"/>
    <w:qFormat/>
  </w:style>
  <w:style w:type="character" w:styleId="666">
    <w:name w:val="Heading 1 Char"/>
    <w:basedOn w:val="665"/>
    <w:qFormat/>
    <w:rPr>
      <w:rFonts w:ascii="Arial" w:hAnsi="Arial" w:eastAsia="Arial"/>
      <w:sz w:val="40"/>
    </w:rPr>
  </w:style>
  <w:style w:type="character" w:styleId="667">
    <w:name w:val="Heading 2 Char"/>
    <w:basedOn w:val="665"/>
    <w:qFormat/>
    <w:rPr>
      <w:rFonts w:ascii="Arial" w:hAnsi="Arial" w:eastAsia="Arial"/>
      <w:sz w:val="34"/>
    </w:rPr>
  </w:style>
  <w:style w:type="character" w:styleId="668">
    <w:name w:val="Heading 3 Char"/>
    <w:basedOn w:val="665"/>
    <w:qFormat/>
    <w:rPr>
      <w:rFonts w:ascii="Arial" w:hAnsi="Arial" w:eastAsia="Arial"/>
      <w:sz w:val="30"/>
    </w:rPr>
  </w:style>
  <w:style w:type="character" w:styleId="669">
    <w:name w:val="Heading 4 Char"/>
    <w:basedOn w:val="665"/>
    <w:qFormat/>
    <w:rPr>
      <w:rFonts w:ascii="Arial" w:hAnsi="Arial" w:eastAsia="Arial"/>
      <w:b/>
      <w:sz w:val="26"/>
    </w:rPr>
  </w:style>
  <w:style w:type="character" w:styleId="670">
    <w:name w:val="Heading 5 Char"/>
    <w:basedOn w:val="665"/>
    <w:qFormat/>
    <w:rPr>
      <w:rFonts w:ascii="Arial" w:hAnsi="Arial" w:eastAsia="Arial"/>
      <w:b/>
      <w:sz w:val="24"/>
    </w:rPr>
  </w:style>
  <w:style w:type="character" w:styleId="671">
    <w:name w:val="Heading 6 Char"/>
    <w:basedOn w:val="665"/>
    <w:qFormat/>
    <w:rPr>
      <w:rFonts w:ascii="Arial" w:hAnsi="Arial" w:eastAsia="Arial"/>
      <w:b/>
      <w:sz w:val="22"/>
    </w:rPr>
  </w:style>
  <w:style w:type="character" w:styleId="672">
    <w:name w:val="Heading 7 Char"/>
    <w:basedOn w:val="665"/>
    <w:qFormat/>
    <w:rPr>
      <w:rFonts w:ascii="Arial" w:hAnsi="Arial" w:eastAsia="Arial"/>
      <w:b/>
      <w:i/>
      <w:sz w:val="22"/>
    </w:rPr>
  </w:style>
  <w:style w:type="character" w:styleId="673">
    <w:name w:val="Heading 8 Char"/>
    <w:basedOn w:val="665"/>
    <w:qFormat/>
    <w:rPr>
      <w:rFonts w:ascii="Arial" w:hAnsi="Arial" w:eastAsia="Arial"/>
      <w:i/>
      <w:sz w:val="22"/>
    </w:rPr>
  </w:style>
  <w:style w:type="character" w:styleId="674">
    <w:name w:val="Heading 9 Char"/>
    <w:basedOn w:val="665"/>
    <w:qFormat/>
    <w:rPr>
      <w:rFonts w:ascii="Arial" w:hAnsi="Arial" w:eastAsia="Arial"/>
      <w:i/>
      <w:sz w:val="21"/>
    </w:rPr>
  </w:style>
  <w:style w:type="character" w:styleId="675">
    <w:name w:val="Title Char"/>
    <w:basedOn w:val="665"/>
    <w:qFormat/>
    <w:rPr>
      <w:sz w:val="48"/>
    </w:rPr>
  </w:style>
  <w:style w:type="character" w:styleId="676">
    <w:name w:val="Subtitle Char"/>
    <w:basedOn w:val="665"/>
    <w:qFormat/>
    <w:rPr>
      <w:sz w:val="24"/>
    </w:rPr>
  </w:style>
  <w:style w:type="character" w:styleId="677">
    <w:name w:val="Header Char"/>
    <w:basedOn w:val="665"/>
    <w:qFormat/>
  </w:style>
  <w:style w:type="character" w:styleId="678">
    <w:name w:val="Footer Char"/>
    <w:basedOn w:val="665"/>
    <w:qFormat/>
  </w:style>
  <w:style w:type="character" w:styleId="679">
    <w:name w:val="footnote reference"/>
    <w:basedOn w:val="665"/>
    <w:qFormat/>
    <w:rPr>
      <w:position w:val="6"/>
    </w:rPr>
  </w:style>
  <w:style w:type="character" w:styleId="680">
    <w:name w:val="endnote reference"/>
    <w:basedOn w:val="665"/>
    <w:qFormat/>
    <w:rPr>
      <w:position w:val="6"/>
    </w:rPr>
  </w:style>
  <w:style w:type="paragraph" w:styleId="681">
    <w:name w:val="No Spacing"/>
    <w:basedOn w:val="617"/>
    <w:next w:val="681"/>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82">
    <w:name w:val="Quote Char"/>
    <w:qFormat/>
    <w:rPr>
      <w:i/>
    </w:rPr>
  </w:style>
  <w:style w:type="character" w:styleId="683">
    <w:name w:val="Intense Quote Char"/>
    <w:qFormat/>
    <w:rPr>
      <w:i/>
    </w:rPr>
  </w:style>
  <w:style w:type="character" w:styleId="684">
    <w:name w:val="Caption Char"/>
    <w:qFormat/>
  </w:style>
  <w:style w:type="character" w:styleId="685">
    <w:name w:val="Footnote Text Char"/>
    <w:qFormat/>
    <w:rPr>
      <w:sz w:val="18"/>
    </w:rPr>
  </w:style>
  <w:style w:type="character" w:styleId="686">
    <w:name w:val="Endnote Text Char"/>
    <w:qFormat/>
    <w:rPr>
      <w:sz w:val="20"/>
    </w:rPr>
  </w:style>
  <w:style w:type="paragraph" w:styleId="687">
    <w:name w:val="TOC Heading"/>
    <w:basedOn w:val="617"/>
    <w:next w:val="687"/>
    <w:qFormat/>
    <w:pPr>
      <w:spacing w:after="160" w:line="259" w:lineRule="auto"/>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88">
    <w:name w:val="Hyperlink"/>
    <w:qFormat/>
    <w:rPr>
      <w:color w:val="0000ff"/>
      <w:u w:val="single"/>
    </w:rPr>
  </w:style>
  <w:style w:type="paragraph" w:styleId="689">
    <w:name w:val="Standard"/>
    <w:basedOn w:val="617"/>
    <w:next w:val="689"/>
    <w:qFormat/>
    <w:pPr>
      <w:widowControl/>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90">
    <w:name w:val="Corps de texte"/>
    <w:basedOn w:val="689"/>
    <w:next w:val="690"/>
    <w:qFormat/>
    <w:pPr>
      <w:spacing w:after="120"/>
    </w:pPr>
  </w:style>
  <w:style w:type="character" w:styleId="691">
    <w:name w:val="Default Paragraph Font PHPDOCX"/>
    <w:qFormat/>
  </w:style>
  <w:style w:type="character" w:styleId="692">
    <w:name w:val="Title Car PHPDOCX"/>
    <w:basedOn w:val="691"/>
    <w:qFormat/>
    <w:rPr>
      <w:rFonts w:ascii="Calibri Light" w:hAnsi="Calibri Light" w:eastAsia="Calibri Light"/>
      <w:color w:val="17365d"/>
      <w:sz w:val="52"/>
    </w:rPr>
  </w:style>
  <w:style w:type="character" w:styleId="693">
    <w:name w:val="Subtitle Car PHPDOCX"/>
    <w:basedOn w:val="691"/>
    <w:qFormat/>
    <w:rPr>
      <w:rFonts w:ascii="Calibri Light" w:hAnsi="Calibri Light" w:eastAsia="Calibri Light"/>
      <w:i/>
      <w:color w:val="4f81bd"/>
      <w:sz w:val="24"/>
    </w:rPr>
  </w:style>
  <w:style w:type="character" w:styleId="694">
    <w:name w:val="annotation reference PHPDOCX"/>
    <w:basedOn w:val="691"/>
    <w:qFormat/>
    <w:rPr>
      <w:sz w:val="16"/>
    </w:rPr>
  </w:style>
  <w:style w:type="character" w:styleId="695">
    <w:name w:val="Comment Text Char PHPDOCX"/>
    <w:basedOn w:val="691"/>
    <w:qFormat/>
    <w:rPr>
      <w:sz w:val="20"/>
    </w:rPr>
  </w:style>
  <w:style w:type="character" w:styleId="696">
    <w:name w:val="Comment Subject Char PHPDOCX"/>
    <w:basedOn w:val="695"/>
    <w:qFormat/>
    <w:rPr>
      <w:b/>
      <w:sz w:val="20"/>
    </w:rPr>
  </w:style>
  <w:style w:type="character" w:styleId="697">
    <w:name w:val="Balloon Text Char PHPDOCX"/>
    <w:basedOn w:val="691"/>
    <w:qFormat/>
    <w:rPr>
      <w:rFonts w:ascii="Tahoma" w:hAnsi="Tahoma" w:eastAsia="Tahoma"/>
      <w:sz w:val="16"/>
    </w:rPr>
  </w:style>
  <w:style w:type="character" w:styleId="698">
    <w:name w:val="footnote Text Car PHPDOCX"/>
    <w:basedOn w:val="691"/>
    <w:qFormat/>
    <w:rPr>
      <w:sz w:val="20"/>
    </w:rPr>
  </w:style>
  <w:style w:type="character" w:styleId="699">
    <w:name w:val="footnote Reference PHPDOCX"/>
    <w:basedOn w:val="691"/>
    <w:qFormat/>
    <w:rPr>
      <w:position w:val="6"/>
    </w:rPr>
  </w:style>
  <w:style w:type="character" w:styleId="700">
    <w:name w:val="endnote Text Car PHPDOCX"/>
    <w:basedOn w:val="691"/>
    <w:qFormat/>
    <w:rPr>
      <w:sz w:val="20"/>
    </w:rPr>
  </w:style>
  <w:style w:type="character" w:styleId="701">
    <w:name w:val="endnote Reference PHPDOCX"/>
    <w:basedOn w:val="691"/>
    <w:qFormat/>
    <w:rPr>
      <w:position w:val="6"/>
    </w:rPr>
  </w:style>
  <w:style w:type="numbering" w:styleId="1384" w:default="1">
    <w:name w:val="No List"/>
    <w:uiPriority w:val="99"/>
    <w:semiHidden/>
    <w:unhideWhenUsed/>
  </w:style>
  <w:style w:type="table" w:styleId="138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monslu</cp:lastModifiedBy>
  <cp:revision>1</cp:revision>
  <dcterms:modified xsi:type="dcterms:W3CDTF">2024-05-20T12:17:28Z</dcterms:modified>
</cp:coreProperties>
</file>