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 et  Mme LEMAIRE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16 rue de la croix blanche, 22450 KERMARIA-SULARD.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en pierre avec dépendance, cadastrée au numéro 241 section D pour une contenance totale de 2436 m², sise: Chabanettas, 77 rue de la forêt Barade, 24210 BARS.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235 000 €</w:t>
      </w:r>
      <w:r>
        <w:rPr>
          <w:rFonts w:ascii="Times New Roman" w:hAnsi="Times New Roman" w:eastAsia="Times New Roman"/>
        </w:rPr>
        <w:t xml:space="preserve">, net vendeur,payable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14 000 € soit 5.96 %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8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et Mme LEMAIRE.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5,62% TTC soit 14 000 €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8 novembre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