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12700" distB="12700" distL="12700" distR="12700" simplePos="0" relativeHeight="1000000" behindDoc="0" locked="0" layoutInCell="1" allowOverlap="1" hidden="false">
                  <wp:simplePos x="0" y="0"/>
                  <wp:positionH relativeFrom="column">
                    <wp:posOffset>288290</wp:posOffset>
                  </wp:positionH>
                  <wp:positionV relativeFrom="paragraph">
                    <wp:posOffset>12700</wp:posOffset>
                  </wp:positionV>
                  <wp:extent cx="3730625" cy="1748790"/>
                  <wp:wrapSquare wrapText="bothSides"/>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730625" cy="1748790"/>
                          </a:xfrm>
                          <a:prstGeom prst="rect">
                            <a:avLst/>
                          </a:prstGeom>
                        </pic:spPr>
                      </pic:pic>
                    </a:graphicData>
                  </a:graphic>
                </wp:anchor>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310" cy="1086485"/>
                          </a:xfrm>
                          <a:prstGeom prst="rect">
                            <a:avLst/>
                          </a:prstGeom>
                        </pic:spPr>
                      </pic:pic>
                    </a:graphicData>
                  </a:graphic>
                </wp:inline>
              </w:drawing>
            </w:r>
          </w:p>
        </w:tc>
      </w:tr>
    </w:tbl>
    <w:p>
      <w:pPr>
        <w:pStyle w:val="[Normal]"/>
        <w:widowControl w:val="on"/>
        <w:rPr>
          <w:rFonts w:ascii="Garamond" w:hAnsi="Garamond" w:eastAsia="Garamond"/>
          <w:b w:val="on"/>
          <w:color w:val="004389"/>
        </w:rPr>
      </w:pPr>
    </w:p>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32"/>
        </w:rPr>
      </w:pPr>
      <w:r>
        <w:rPr>
          <w:color w:val="004288"/>
        </w:rPr>
        <w:t xml:space="preserve">                   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both"/>
        <w:rPr>
          <w:b w:val="on"/>
          <w:sz w:val="24"/>
        </w:rPr>
      </w:pPr>
      <w:r>
        <w:rPr>
          <w:rFonts w:ascii="Times New Roman" w:hAnsi="Times New Roman" w:eastAsia="Times New Roman"/>
          <w:color w:val="004288"/>
          <w:sz w:val="24"/>
        </w:rPr>
        <w:t xml:space="preserve">                                               (Avec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Monsieur et Madame DE GRAAFF Frederik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Demeurant: Berkenlaan 38, 1602 SV Enkhuizen, PAYS-BAS.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pPr>
      <w:r>
        <w:rPr>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764"/>
        <w:rPr>
          <w:color w:val="auto"/>
          <w:sz w:val="22"/>
        </w:rPr>
      </w:pPr>
      <w:r>
        <w:rPr>
          <w:color w:val="auto"/>
          <w:sz w:val="22"/>
        </w:rPr>
        <w:t xml:space="preserve">Propriété comprenant maison, piscine et petite dépendance. Ensemble cadastré au numéro 25 section ZM pour une contenance totale de 3120 m² sis: 49 route de la Garenne, 24290 AUBAS.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List Paragraph"/>
        <w:widowControl w:val="off"/>
        <w:numPr>
          <w:ilvl w:val="0"/>
          <w:numId w:val="3"/>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7" w:lineRule="auto"/>
        <w:ind w:left="377" w:right="1287" w:hanging="267"/>
        <w:rPr>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298 000 €  (deux cent quatre-vingt dix-huit mille euros ) 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List Paragraph"/>
        <w:widowControl w:val="off"/>
        <w:numPr>
          <w:ilvl w:val="0"/>
          <w:numId w:val="3"/>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after="0" w:line="250" w:lineRule="auto"/>
        <w:ind w:left="377" w:right="783" w:hanging="267"/>
        <w:rPr>
          <w:b w:val="on"/>
          <w:sz w:val="22"/>
        </w:rPr>
      </w:pPr>
      <w:r>
        <w:rPr>
          <w:b w:val="on"/>
          <w:sz w:val="22"/>
          <w:u w:val="single"/>
        </w:rPr>
        <w:t xml:space="preserve">Honoraires</w:t>
      </w:r>
      <w:r>
        <w:rPr>
          <w:b w:val="on"/>
          <w:sz w:val="22"/>
        </w:rPr>
        <w:t xml:space="preserve"> </w:t>
      </w:r>
      <w:r>
        <w:rPr>
          <w:sz w:val="22"/>
        </w:rPr>
        <w:t xml:space="preserve">: Les honoraires de l'agence Maisons en Périgord seront de: </w:t>
      </w:r>
      <w:r>
        <w:rPr>
          <w:b w:val="on"/>
          <w:sz w:val="22"/>
        </w:rPr>
        <w:t xml:space="preserve">17 880 € TTC soit 6% du prix net vendeur, soit un prix affiché honoraires d'agences inclus de 315 880 €.</w:t>
      </w:r>
    </w:p>
    <w:p>
      <w:pPr>
        <w:pStyle w:val="List Paragraph"/>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after="0" w:line="250" w:lineRule="auto"/>
        <w:ind w:left="0" w:right="783"/>
        <w:rPr>
          <w:b w:val="on"/>
          <w:sz w:val="22"/>
        </w:rPr>
      </w:pPr>
    </w:p>
    <w:p>
      <w:pPr>
        <w:pStyle w:val="[Normal]"/>
        <w:widowControl w:val="on"/>
        <w:rPr>
          <w:sz w:val="22"/>
        </w:rPr>
      </w:pPr>
      <w:r>
        <w:rPr>
          <w:sz w:val="22"/>
        </w:rPr>
        <w:t xml:space="preserve">     Honoraires à la charge de l'Acquéreur et exigibles le jour où l'opération sera effectivement conclue et  </w:t>
      </w:r>
    </w:p>
    <w:p>
      <w:pPr>
        <w:pStyle w:val="[Normal]"/>
        <w:widowControl w:val="on"/>
        <w:rPr>
          <w:sz w:val="22"/>
        </w:rPr>
      </w:pPr>
      <w:r>
        <w:rPr>
          <w:sz w:val="22"/>
        </w:rPr>
        <w:t xml:space="preserve">     constatée dans un acte écrit, signé des 2 parties, conformément à l'article 74 du décret 72-678 du 20 juillet</w:t>
      </w:r>
    </w:p>
    <w:p>
      <w:pPr>
        <w:pStyle w:val="[Normal]"/>
        <w:widowControl w:val="on"/>
        <w:rPr>
          <w:rFonts w:ascii="Garamond" w:hAnsi="Garamond" w:eastAsia="Garamond"/>
          <w:sz w:val="16"/>
        </w:rPr>
      </w:pPr>
      <w:r>
        <w:rPr>
          <w:sz w:val="22"/>
        </w:rPr>
        <w:t xml:space="preserve">     1972.</w:t>
      </w:r>
    </w:p>
    <w:p>
      <w:pPr>
        <w:pStyle w:val="[Normal]"/>
        <w:widowControl w:val="on"/>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rPr>
          <w:sz w:val="22"/>
        </w:rPr>
      </w:pPr>
      <w:r>
        <w:rPr>
          <w:b w:val="on"/>
          <w:u w:val="single"/>
        </w:rPr>
        <w:t xml:space="preserve">Durée du mandat</w:t>
      </w:r>
      <w:r>
        <w:rPr>
          <w:b w:val="on"/>
        </w:rPr>
        <w:t xml:space="preserve"> : </w:t>
      </w:r>
      <w:r>
        <w:rPr>
          <w:sz w:val="22"/>
        </w:rP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572"/>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pPr>
      <w:r>
        <w:rPr>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u w:val="none"/>
        </w:rPr>
      </w:pPr>
      <w:r>
        <w:rPr>
          <w:u w:val="none"/>
        </w:rPr>
        <w:t xml:space="preserve">L'agence s'engage à prendre à ses frais l'ensemble des diagnostiques techniques immobiliers obligatoires à la vente du bien, à l'exception de l'audit énergétique si celui-ci est nécessaire.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u w:val="none"/>
        </w:rPr>
      </w:pPr>
      <w:r>
        <w:rPr>
          <w:u w:val="none"/>
        </w:rPr>
        <w:t xml:space="preserve">En cas de collaboration avec l'agence Cliq Makelaars BV, représentée par Emile DIJKSKA, les honoraires seront partagés dans une proportion de 50/50.</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1"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3" name="image3.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4" name="image4.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5" name="image5.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image6.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7" name="image7.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8" name="image8.jpeg"/>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tx_id_3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8"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tx_id_4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9"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1" name="image11.jpeg"/>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635" distL="0" distR="1066800" simplePos="0" relativeHeight="1000010"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2" name="_tx_id_5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tx_id_6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4" name="image14.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3"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image15.jpeg"/>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firstLine="0"/>
        <w:sectPr>
          <w:pgSz w:w="11910" w:h="16840"/>
          <w:pgMar w:top="840" w:right="320" w:bottom="280" w:left="740" w:header="720" w:footer="720"/>
        </w:sectPr>
        <w:rPr>
          <w:u w:val="none"/>
        </w:rPr>
      </w:pPr>
      <w:r>
        <w:rPr>
          <w:u w:val="none"/>
        </w:rPr>
        <w:t xml:space="preserve">Le bien ne pourra faire l'objet d'une campagne publicitaire publique qu'à compter de la transmission au mandataire du DPE.</w:t>
      </w:r>
    </w:p>
    <w:p>
      <w:pPr>
        <w:pStyle w:val="List Paragraph"/>
        <w:widowControl w:val="off"/>
        <w:numPr>
          <w:ilvl w:val="0"/>
          <w:numId w:val="4"/>
        </w:numPr>
        <w:tabs>
          <w:tab w:val="left" w:pos="110"/>
          <w:tab w:val="left" w:pos="3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1" w:after="0" w:line="240" w:lineRule="auto"/>
        <w:ind w:left="110" w:right="571" w:hanging="110"/>
        <w:rPr>
          <w:sz w:val="22"/>
        </w:rPr>
      </w:pPr>
      <w:r>
        <w:rPr>
          <w:sz w:val="22"/>
        </w:rPr>
        <w:t xml:space="preserve">Réclamer toutes les pièces utiles auprès de toutes personnes privées ou publiques, notamment le certificat d'urbanisme.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4"/>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4"/>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(sauf dans le cadre du mandat  exclusif)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4"/>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rPr>
          <w:u w:val="single"/>
        </w:rPr>
      </w:pPr>
      <w:r>
        <w:rPr>
          <w:u w:val="single"/>
        </w:rPr>
        <w:t xml:space="preserve">Obligations du mandant :</w:t>
      </w: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pPr>
    </w:p>
    <w:p>
      <w:pPr>
        <w:pStyle w:val="List Paragraph"/>
        <w:widowControl w:val="off"/>
        <w:numPr>
          <w:ilvl w:val="0"/>
          <w:numId w:val="6"/>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6"/>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6"/>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rPr>
          <w:u w:val="single"/>
        </w:rPr>
      </w:pPr>
      <w:r>
        <w:rPr>
          <w:u w:val="single"/>
        </w:rPr>
        <w:t xml:space="preserve">Option mandat Exclusif :</w:t>
      </w: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0"/>
      </w:pPr>
    </w:p>
    <w:p>
      <w:pPr>
        <w:pStyle w:val="List Paragraph"/>
        <w:widowControl w:val="off"/>
        <w:numPr>
          <w:ilvl w:val="0"/>
          <w:numId w:val="6"/>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6"/>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6"/>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sectPr>
          <w:pgSz w:w="11910" w:h="16840"/>
          <w:pgMar w:top="840" w:right="320" w:bottom="280" w:left="740" w:header="720" w:footer="720"/>
        </w:sectPr>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rPr>
          <w:u w:val="single"/>
        </w:rPr>
      </w:pPr>
      <w:r>
        <w:rPr>
          <w:u w:val="single"/>
        </w:rPr>
        <w:t xml:space="preserve">12. Actions particulières du mandat Exclusif :</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pP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11 septembre 2024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jc w:val="center"/>
        <w:rPr>
          <w:b w:val="off"/>
          <w:color w:val="auto"/>
          <w:sz w:val="22"/>
        </w:rPr>
      </w:pPr>
      <w:r>
        <w:rPr>
          <w:b w:val="off"/>
          <w:color w:val="auto"/>
          <w:sz w:val="22"/>
        </w:rPr>
        <w:t xml:space="preserve">                  Le Propriétaire				Maisons en Périgord</w:t>
      </w:r>
    </w:p>
    <w:p>
      <w:pPr>
        <w:pStyle w:val="Body Text"/>
        <w:tabs>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2"/>
        <w:ind w:right="475"/>
        <w:jc w:val="center"/>
        <w:sectPr>
          <w:pgSz w:w="11910" w:h="16840"/>
          <w:pgMar w:top="840" w:right="320" w:bottom="280" w:left="740" w:header="720" w:footer="720"/>
        </w:sectPr>
        <w:rPr>
          <w:b w:val="off"/>
          <w:color w:val="auto"/>
          <w:sz w:val="22"/>
        </w:rPr>
      </w:pPr>
      <w:r>
        <w:rPr>
          <w:b w:val="off"/>
          <w:color w:val="auto"/>
          <w:sz w:val="22"/>
        </w:rPr>
        <w:t xml:space="preserve">               "Bon pour mandat"		              "Mandat Accepté"</w:t>
      </w: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sectPr>
          <w:pgSz w:w="11910" w:h="16840"/>
          <w:pgMar w:top="840" w:right="320" w:bottom="280" w:left="740" w:header="720" w:footer="720"/>
        </w:sectPr>
        <w:rPr>
          <w:sz w:val="24"/>
        </w:rPr>
      </w:pPr>
      <w:r>
        <w:rPr>
          <w:sz w:val="24"/>
        </w:rPr>
        <w:t xml:space="preserve">Signatures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u w:val="single"/>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www.maisons-en-perigord.com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jc w:val="both"/>
        <w:rPr>
          <w:b w:val="on"/>
          <w:sz w:val="24"/>
        </w:rPr>
      </w:pPr>
      <w:r>
        <w:rPr>
          <w:b w:val="on"/>
          <w:sz w:val="24"/>
        </w:rPr>
        <w:t xml:space="preserve">Monsieur et madame DE GRAAFF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5,66% TTC soit 17 880 €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firstLine="0"/>
        <w:jc w:val="left"/>
        <w:rPr>
          <w:u w:val="none"/>
        </w:rPr>
      </w:pPr>
      <w:r>
        <w:rPr>
          <w:u w:val="non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rPr>
          <w:b w:val="off"/>
          <w:color w:val="auto"/>
          <w:sz w:val="22"/>
        </w:rPr>
      </w:pPr>
      <w:r>
        <w:rPr>
          <w:b w:val="off"/>
          <w:color w:val="auto"/>
          <w:sz w:val="22"/>
        </w:rPr>
        <w:t xml:space="preserve">Ces procédures s’appliquent également à tous les sous-traitants auxquels le cabinet fait appel.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rPr>
          <w:b w:val="off"/>
          <w:color w:val="auto"/>
          <w:sz w:val="22"/>
        </w:rPr>
      </w:pPr>
      <w:r>
        <w:rPr>
          <w:sz w:val="22"/>
        </w:rPr>
        <w:t xml:space="preserve">  </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p>
    <w:p>
      <w:pPr>
        <w:pStyle w:val="[Normal]"/>
        <w:widowControl w:val="on"/>
      </w:pPr>
      <w:r>
        <w:rPr>
          <w:sz w:val="22"/>
        </w:rPr>
        <w:t xml:space="preserve">  </w:t>
      </w:r>
      <w:r>
        <w:rPr>
          <w:b w:val="on"/>
          <w:sz w:val="22"/>
          <w:u w:val="single"/>
        </w:rPr>
        <w:t xml:space="preserve">9</w:t>
      </w:r>
      <w:r>
        <w:rPr>
          <w:b w:val="on"/>
          <w:sz w:val="22"/>
        </w:rPr>
        <w:t xml:space="preserve">. </w:t>
      </w:r>
      <w:r>
        <w:rPr>
          <w:b w:val="on"/>
          <w:sz w:val="22"/>
          <w:u w:val="single"/>
        </w:rP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left="0" w:right="573" w:firstLine="0"/>
        <w:jc w:val="left"/>
        <w:rPr>
          <w:u w:val="none"/>
        </w:rPr>
      </w:pPr>
      <w:r>
        <w:rPr>
          <w:u w:val="none"/>
        </w:rPr>
        <w:t xml:space="preserve"> </w:t>
      </w:r>
      <w:r>
        <w:t xml:space="preserve">10</w:t>
      </w:r>
      <w:r>
        <w:rPr>
          <w:u w:val="none"/>
        </w:rPr>
        <w:t xml:space="preserve">. </w:t>
      </w:r>
      <w:r>
        <w:t xml:space="preserve">Droits d’accès, rectification, droit à l’oubli, portabilité des données, opposition, non-profilage </w:t>
      </w:r>
      <w:r>
        <w:rPr>
          <w:u w:val="none"/>
        </w:rPr>
        <w:t xml:space="preserve"> </w:t>
      </w:r>
      <w:r>
        <w:t xml:space="preserve">et notification de failles de sécurité</w:t>
      </w:r>
    </w:p>
    <w:p>
      <w:pPr>
        <w:pStyle w:val="Heading 3"/>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left="0" w:right="573" w:firstLine="0"/>
        <w:jc w:val="left"/>
        <w:rPr>
          <w:b w:val="off"/>
        </w:rPr>
      </w:pPr>
      <w:r>
        <w:rPr>
          <w:b w:val="off"/>
          <w:u w:val="none"/>
        </w:rPr>
        <w:t xml:space="preserve"> Vous avez le droit de consulter et de faire rectifier les données visées.</w:t>
      </w:r>
    </w:p>
    <w:p>
      <w:pPr>
        <w:pStyle w:val="Heading 3"/>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left="0" w:right="573" w:firstLine="0"/>
        <w:jc w:val="left"/>
        <w:rPr>
          <w:b w:val="off"/>
        </w:rPr>
      </w:pPr>
      <w:r>
        <w:rPr>
          <w:b w:val="off"/>
          <w:u w:val="none"/>
        </w:rPr>
        <w:t xml:space="preserve"> Vous avez également le droit à l’oubli, à la portabilité des données et à l’opposition.</w:t>
      </w:r>
    </w:p>
    <w:p>
      <w:pPr>
        <w:pStyle w:val="Heading 3"/>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left="0" w:right="573" w:firstLine="0"/>
        <w:jc w:val="left"/>
        <w:rPr>
          <w:b w:val="off"/>
          <w:u w:val="none"/>
        </w:rPr>
      </w:pPr>
      <w:r>
        <w:rPr>
          <w:b w:val="off"/>
          <w:u w:val="none"/>
        </w:rPr>
        <w:t xml:space="preserve"> 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consommateur(s)	Signature du mandataire Maisons en Périgord</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355" w:hanging="246"/>
        <w:tabs>
          <w:tab w:val="num" w:pos="355"/>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1"/>
    <w:lvlOverride w:ilvl="0">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2"/>
          <w:u w:val="single"/>
          <w:shd w:val="clear" w:fill="auto"/>
        </w:rPr>
      </w:lvl>
    </w:lvlOverride>
  </w:num>
  <w:num w:numId="4">
    <w:abstractNumId w:val="2"/>
  </w:num>
  <w:num w:numId="5">
    <w:abstractNumId w:val="3"/>
  </w:num>
  <w:num w:numId="6">
    <w:abstractNumId w:val="4"/>
  </w:num>
  <w:num w:numId="7">
    <w:abstractNumId w:val="5"/>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ind w:left="110"/>
    </w:pPr>
    <w:rPr>
      <w:b w:val="on"/>
      <w:sz w:val="24"/>
    </w:rPr>
  </w:style>
  <w:style w:type="paragraph" w:styleId="List Paragraph">
    <w:name w:val="List Paragraph"/>
    <w:basedOn w:val="Normal"/>
    <w:next w:val="List Paragraph"/>
    <w:qFormat/>
    <w:pPr>
      <w:spacing w:after="160" w:line="257" w:lineRule="auto"/>
      <w:ind w:left="720"/>
    </w:pPr>
    <w:rPr>
      <w:sz w:val="24"/>
    </w:rPr>
  </w:style>
  <w:style w:type="paragraph" w:styleId="Heading 3">
    <w:name w:val="Heading 3"/>
    <w:basedOn w:val="Normal"/>
    <w:next w:val="Heading 3"/>
    <w:qFormat/>
    <w:pPr>
      <w:ind w:left="355" w:hanging="246"/>
      <w:jc w:val="both"/>
    </w:pPr>
    <w:rPr>
      <w:b w:val="on"/>
      <w:sz w:val="22"/>
      <w:u w:val="single"/>
    </w:rPr>
  </w:style>
  <w:style w:type="paragraph" w:styleId="Heading 1">
    <w:name w:val="Heading 1"/>
    <w:basedOn w:val="Normal"/>
    <w:next w:val="Heading 1"/>
    <w:qFormat/>
    <w:pPr>
      <w:spacing w:before="75"/>
      <w:ind w:right="418"/>
      <w:jc w:val="center"/>
    </w:pPr>
    <w:rPr>
      <w:b w:val="on"/>
      <w:sz w:val="28"/>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6" Type="http://schemas.openxmlformats.org/officeDocument/2006/relationships/image" Target="media/image0002.jpg"/>
	<Relationship Id="rId00005" Type="http://schemas.openxmlformats.org/officeDocument/2006/relationships/image" Target="media/image0001.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