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05"/>
        <w:gridCol w:w="2070"/>
      </w:tblGrid>
      <w:tr>
        <w:tc>
          <w:tcPr>
            <w:tcW w:w="870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Times New Roman" w:hAnsi="Times New Roman" w:eastAsia="Times New Roman"/>
                <w:b w:val="on"/>
                <w:color w:val="0000FF"/>
              </w:rPr>
              <w:t xml:space="preserve">p^ptf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tbl>
            <w:tblPr>
              <w:tblW w:w="0" w:type="auto"/>
              <w:jc w:val="left"/>
              <w:tblInd w:w="4694"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939"/>
            </w:tblGrid>
            <w:tr>
              <w:tc>
                <w:tcPr>
                  <w:tcW w:w="3939"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color w:val="004389"/>
                      <w:sz w:val="24"/>
                    </w:rPr>
                    <w:t xml:space="preserve">                    11 rue du 4 septembre,                 24290 Montignac-Lascaux.</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7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24"/>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Je soussignée :   </w:t>
      </w:r>
      <w:r>
        <w:rPr>
          <w:rFonts w:ascii="Garamond" w:hAnsi="Garamond" w:eastAsia="Garamond"/>
          <w:b w:val="on"/>
          <w:sz w:val="18"/>
        </w:rPr>
        <w:t xml:space="preserve"> </w:t>
      </w:r>
      <w:r>
        <w:rPr>
          <w:rFonts w:ascii="Garamond" w:hAnsi="Garamond" w:eastAsia="Garamond"/>
          <w:b w:val="on"/>
          <w:sz w:val="22"/>
          <w:shd w:val="clear" w:fill="C0C0C0"/>
        </w:rPr>
        <w:t xml:space="preserve">Madame BORDEAU Pauline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Demeurant:           </w:t>
      </w:r>
      <w:r>
        <w:rPr>
          <w:rFonts w:ascii="Garamond" w:hAnsi="Garamond" w:eastAsia="Garamond"/>
          <w:b w:val="on"/>
          <w:sz w:val="22"/>
          <w:shd w:val="clear" w:fill="C0C0C0"/>
        </w:rPr>
        <w:t xml:space="preserve">104 rue Ney, 69006 LYON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Garamond" w:hAnsi="Garamond" w:eastAsia="Garamond"/>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 CPI 2401 2018 000 030 866, délivrée par la CCI de la Dordogne, Transaction sur immeubles et fonds de commerce. Non détention de fonds. Garantie:110 000 €</w:t>
      </w:r>
      <w:r>
        <w:rPr>
          <w:rFonts w:ascii="Garamond" w:hAnsi="Garamond" w:eastAsia="Garamond"/>
          <w:b w:val="on"/>
          <w:sz w:val="22"/>
        </w:rPr>
        <w:t xml:space="preserve">.</w:t>
      </w:r>
      <w:r>
        <w:rPr>
          <w:rFonts w:ascii="Calibri" w:hAnsi="Calibri" w:eastAsia="Calibri"/>
          <w:b w:val="on"/>
          <w:sz w:val="22"/>
        </w:rPr>
        <w:t xml:space="preserve"> </w:t>
      </w:r>
      <w:r>
        <w:rPr>
          <w:rFonts w:ascii="Garamond" w:hAnsi="Garamond" w:eastAsia="Garamond"/>
        </w:rPr>
        <w:t xml:space="preserve">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w:t>
      </w:r>
      <w:r>
        <w:rPr>
          <w:rFonts w:ascii="Garamond" w:hAnsi="Garamond" w:eastAsia="Garamond"/>
          <w:b w:val="on"/>
          <w:sz w:val="22"/>
          <w:shd w:val="clear" w:fill="C0C0C0"/>
        </w:rPr>
        <w:t xml:space="preserve"> Le Bois De Morillou, 921 route de Chantegrel</w:t>
      </w:r>
      <w:r>
        <w:rPr>
          <w:rFonts w:ascii="Garamond" w:hAnsi="Garamond" w:eastAsia="Garamond"/>
          <w:b w:val="on"/>
          <w:sz w:val="22"/>
        </w:rPr>
        <w:t xml:space="preserve">,</w:t>
      </w:r>
      <w:r>
        <w:rPr>
          <w:rFonts w:ascii="Garamond" w:hAnsi="Garamond" w:eastAsia="Garamond"/>
          <w:b w:val="on"/>
          <w:sz w:val="22"/>
          <w:shd w:val="clear" w:fill="C0C0C0"/>
        </w:rPr>
        <w:t xml:space="preserve">24290 AURIAC-DU-PERIGORD.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propriété comprenant maiosn, dépendances et piscine.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Ensemble cadastré au numéro 634 section B pour une contenance totale d'environ 2 ha 16 a 70 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  550 000 € net vendeur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33 000 € TTC soit  6,00 %  du prix net vendeur, </w:t>
      </w:r>
      <w:r>
        <w:rPr>
          <w:rFonts w:ascii="Garamond" w:hAnsi="Garamond" w:eastAsia="Garamond"/>
          <w:b w:val="on"/>
          <w:sz w:val="22"/>
          <w:shd w:val="clear" w:fill="C0C0C0"/>
        </w:rPr>
        <w:t xml:space="preserve">soit un prix affiché honoraires d'agences inclus de</w:t>
      </w:r>
      <w:r>
        <w:rPr>
          <w:rFonts w:ascii="Garamond" w:hAnsi="Garamond" w:eastAsia="Garamond"/>
          <w:b w:val="on"/>
          <w:sz w:val="28"/>
          <w:shd w:val="clear" w:fill="C0C0C0"/>
        </w:rPr>
        <w:t xml:space="preserve"> 583 000 €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L'agence s'engage à prendre à ses frais les diagnostics nécessaires à la vente hormis l'audit énergétique si requis.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Maisons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                                                                                                                              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Prise en charge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 GREEN ACRES.</w:t>
      </w:r>
    </w:p>
    <w:p>
      <w:pPr>
        <w:pStyle w:val="Normal"/>
        <w:rPr>
          <w:rFonts w:ascii="Garamond" w:hAnsi="Garamond" w:eastAsia="Garamond"/>
        </w:rPr>
      </w:pPr>
      <w:r>
        <w:rPr>
          <w:rFonts w:ascii="Garamond" w:hAnsi="Garamond" w:eastAsia="Garamond"/>
        </w:rPr>
        <w:t xml:space="preserve">- Visite virtuelle Matterport.</w:t>
      </w:r>
    </w:p>
    <w:p>
      <w:pPr>
        <w:pStyle w:val="Normal"/>
      </w:pP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14.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rPr>
      </w:pPr>
      <w:r>
        <w:rPr>
          <w:rFonts w:ascii="Garamond" w:hAnsi="Garamond" w:eastAsia="Garamond"/>
          <w:b w:val="on"/>
          <w:sz w:val="24"/>
        </w:rPr>
        <w:t xml:space="preserve">Fait à  </w:t>
      </w:r>
      <w:r>
        <w:rPr>
          <w:rFonts w:ascii="Garamond" w:hAnsi="Garamond" w:eastAsia="Garamond"/>
          <w:b w:val="on"/>
          <w:sz w:val="24"/>
          <w:shd w:val="clear" w:fill="C0C0C0"/>
        </w:rPr>
        <w:t xml:space="preserve">Montignac</w:t>
      </w:r>
      <w:r>
        <w:rPr>
          <w:rFonts w:ascii="Garamond" w:hAnsi="Garamond" w:eastAsia="Garamond"/>
          <w:b w:val="on"/>
          <w:sz w:val="24"/>
        </w:rPr>
        <w:t xml:space="preserve">  Le  </w:t>
      </w:r>
      <w:r>
        <w:rPr>
          <w:rFonts w:ascii="Garamond" w:hAnsi="Garamond" w:eastAsia="Garamond"/>
          <w:b w:val="on"/>
          <w:sz w:val="24"/>
          <w:shd w:val="clear" w:fill="C0C0C0"/>
        </w:rPr>
        <w:t xml:space="preserve"> 5 septembre 2023, </w:t>
      </w: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BORDEAU   Pauline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104 rue Ney   -   69006      LYON 06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widowControl w:val="on"/>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widowControl w:val="on"/>
        <w:rPr>
          <w:rFonts w:ascii="Garamond" w:hAnsi="Garamond" w:eastAsia="Garamond"/>
          <w:sz w:val="18"/>
        </w:rPr>
      </w:pPr>
      <w:r>
        <w:rPr>
          <w:rFonts w:ascii="Garamond" w:hAnsi="Garamond" w:eastAsia="Garamond"/>
          <w:sz w:val="18"/>
        </w:rPr>
        <w:t xml:space="preserve">Représentée par : Ludovic Mons - Directeur.</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Madame  BORDEAU  Pauline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12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5,66% TTC soit 33 000 €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                                                                                                                               Paraphes :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5 septembre 2023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