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24245" cy="32118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MP113702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230 000 €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sur les hauteurs du village classé de Saint Amand de Coly, à 10 minutes de Montignac, maison en bois de 2013 nichée sur terrain boisé d'environ 1600 m², située dans un petit lotissement calme.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Cette maison en bois de 2013, est nichée sur un terrain boisé de 1600 m² environ, implantée dans un petit lotissement très calme, situé sur les hauteurs d'un village typique classé, à 10 minutes de Montignac et ses commerces et à 20 minutes de Sarlat. Accès rapide aussi à l'axe Brive-Périgueux. Cette maison, à faible consommation énergétique, est très bien isolée avec des matériaux de qualité choisi par son propriétaire, constructeur et artisan. Elle développe environ 100 m² habitables dont une pièce de vie avec poële à bois, 2 chambres en rdc, une salle de bains et troisième chambre en mezzanine. Une grande terrasse en bois de 50 m² est attenante à la pièce principale. L'eau chaude est produite par des capteurs solaires. Cette maison est bien implantée sur son terrain. 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IMG_8232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IMG_8225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IMG_8230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IMG_8223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1388745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745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PHOTO-2023-05-19-10-16-51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2013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1 614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Campagne non isolée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11 m² chacune.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38 m², orientée sud, donnant sur une terrasse en bois.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/wc.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en mezzanine de 16 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50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500 €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