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TEYSSIER,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454, route impériale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46200 LANZAC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Maison contemporaine avec terrain attenant. Ensemble cadastré au numéro 81 section AV pour une contenance totale d'environ 5322 m² sis: Le Bors,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220 000 €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13 200 €.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15 juin 2023</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 TEYSSIER.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13 200 €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15 juin 2023,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Garamond">
    <w:charset w:val="00"/>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