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4620"/>
        <w:gridCol w:w="8758"/>
      </w:tblGrid>
      <w:tr>
        <w:tc>
          <w:tcPr>
            <w:tcW w:w="14620" w:type="dxa"/>
            <w:vMerge w:val="restart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  <w:t xml:space="preserve"> </w:t>
            </w:r>
          </w:p>
          <w:p>
            <w:pPr>
              <w:pStyle w:val="[Normal]"/>
              <w:ind w:left="1134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7372350" cy="55372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0" cy="5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"/>
              </w:rPr>
              <w:t xml:space="preserve">  </w:t>
            </w: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</w:p>
        </w:tc>
      </w:tr>
      <w:tr>
        <w:tc>
          <w:tcPr>
            <w:tcW w:w="14620" w:type="dxa"/>
            <w:vMerge w:val="continue"/>
            <w:shd w:val="clear" w:fill="FFFFFF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58" w:type="dxa"/>
            <w:shd w:val="clear" w:fill="FFFFFF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3686175" cy="27686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Century Gothic" w:hAnsi="Century Gothic" w:eastAsia="Century Gothic"/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673"/>
        <w:gridCol w:w="14244"/>
        <w:gridCol w:w="3461"/>
      </w:tblGrid>
      <w:tr>
        <w:tc>
          <w:tcPr>
            <w:tcW w:w="567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color w:val="990134"/>
                <w:sz w:val="16"/>
              </w:rPr>
            </w:pPr>
            <w:r>
              <w:drawing>
                <wp:inline distT="0" distB="0" distL="0" distR="0">
                  <wp:extent cx="1504950" cy="4572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2904"/>
              <w:gridCol w:w="2750"/>
              <w:gridCol w:w="2615"/>
              <w:gridCol w:w="2115"/>
              <w:gridCol w:w="1923"/>
            </w:tblGrid>
            <w:tr>
              <w:tc>
                <w:tcPr>
                  <w:tcW w:w="2904" w:type="dxa"/>
                  <w:shd w:val="clear" w:fill="auto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0" behindDoc="0" locked="0" layoutInCell="1" allowOverlap="1" hidden="false">
                        <wp:simplePos x="0" y="0"/>
                        <wp:positionH relativeFrom="column">
                          <wp:posOffset>685165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1" behindDoc="0" locked="0" layoutInCell="1" allowOverlap="1" hidden="false">
                        <wp:simplePos x="0" y="0"/>
                        <wp:positionH relativeFrom="column">
                          <wp:posOffset>661035</wp:posOffset>
                        </wp:positionH>
                        <wp:positionV relativeFrom="paragraph">
                          <wp:posOffset>41910</wp:posOffset>
                        </wp:positionV>
                        <wp:extent cx="457200" cy="457200"/>
                        <wp:wrapSquare wrapText="bothSides"/>
                        <wp:docPr id="9" name="_tx_id_9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/>
                                <pic:cNvPicPr/>
                              </pic:nvPicPr>
                              <pic:blipFill>
                                <a:blip r:embed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2" behindDoc="0" locked="0" layoutInCell="1" allowOverlap="1" hidden="false">
                        <wp:simplePos x="0" y="0"/>
                        <wp:positionH relativeFrom="column">
                          <wp:posOffset>539750</wp:posOffset>
                        </wp:positionH>
                        <wp:positionV relativeFrom="paragraph">
                          <wp:posOffset>71120</wp:posOffset>
                        </wp:positionV>
                        <wp:extent cx="474980" cy="438785"/>
                        <wp:wrapSquare wrapText="bothSides"/>
                        <wp:docPr id="10" name="_tx_id_10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/>
                              </pic:nvPicPr>
                              <pic:blipFill>
                                <a:blip r:embed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9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3" behindDoc="0" locked="0" layoutInCell="1" allowOverlap="1" hidden="false">
                        <wp:simplePos x="0" y="0"/>
                        <wp:positionH relativeFrom="column">
                          <wp:posOffset>440690</wp:posOffset>
                        </wp:positionH>
                        <wp:positionV relativeFrom="paragraph">
                          <wp:posOffset>59690</wp:posOffset>
                        </wp:positionV>
                        <wp:extent cx="457200" cy="457200"/>
                        <wp:wrapSquare wrapText="bothSides"/>
                        <wp:docPr id="11" name="_tx_id_11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/>
                                <pic:cNvPicPr/>
                              </pic:nvPicPr>
                              <pic:blipFill>
                                <a:blip r:embed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anchor distT="12700" distB="12700" distL="12700" distR="12700" simplePos="0" relativeHeight="1000004" behindDoc="0" locked="0" layoutInCell="1" allowOverlap="1" hidden="false">
                        <wp:simplePos x="0" y="0"/>
                        <wp:positionH relativeFrom="column">
                          <wp:posOffset>404495</wp:posOffset>
                        </wp:positionH>
                        <wp:positionV relativeFrom="paragraph">
                          <wp:posOffset>59690</wp:posOffset>
                        </wp:positionV>
                        <wp:extent cx="447675" cy="457200"/>
                        <wp:wrapSquare wrapText="bothSides"/>
                        <wp:docPr id="12" name="_tx_id_1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/>
                              </pic:nvPicPr>
                              <pic:blipFill>
                                <a:blip r:embed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c>
                <w:tcPr>
                  <w:tcW w:w="2904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5</w:t>
                  </w:r>
                </w:p>
              </w:tc>
              <w:tc>
                <w:tcPr>
                  <w:tcW w:w="275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2</w:t>
                  </w:r>
                </w:p>
              </w:tc>
              <w:tc>
                <w:tcPr>
                  <w:tcW w:w="26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187 m²</w:t>
                  </w:r>
                </w:p>
              </w:tc>
              <w:tc>
                <w:tcPr>
                  <w:tcW w:w="2115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550 m²</w:t>
                  </w:r>
                </w:p>
              </w:tc>
              <w:tc>
                <w:tcPr>
                  <w:tcW w:w="1923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1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</w:rPr>
            </w:pPr>
          </w:p>
        </w:tc>
        <w:tc>
          <w:tcPr>
            <w:tcW w:w="3461" w:type="dxa"/>
            <w:vMerge w:val="restart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2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b w:val="on"/>
                <w:sz w:val="36"/>
              </w:rPr>
            </w:pPr>
          </w:p>
          <w:p>
            <w:pPr>
              <w:pStyle w:val="[Normal]"/>
              <w:rPr>
                <w:rFonts w:ascii="Century Gothic" w:hAnsi="Century Gothic" w:eastAsia="Century Gothic"/>
                <w:b w:val="on"/>
                <w:sz w:val="28"/>
              </w:rPr>
            </w:pPr>
            <w:r>
              <w:rPr>
                <w:rFonts w:ascii="Century Gothic" w:hAnsi="Century Gothic" w:eastAsia="Century Gothic"/>
                <w:b w:val="on"/>
                <w:sz w:val="36"/>
              </w:rPr>
              <w:t xml:space="preserve">    Scannez moi !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857375" cy="1857375"/>
                  <wp:docPr id="5" name="_tx_id_5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00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3" w:type="dxa"/>
            <w:shd w:val="clear" w:fill="auto"/>
            <w:vAlign w:val="top"/>
          </w:tcPr>
          <w:tbl>
            <w:tblPr>
              <w:tblW w:w="0" w:type="auto"/>
              <w:jc w:val="left"/>
              <w:tblInd w:w="7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245"/>
              <w:gridCol w:w="1257"/>
            </w:tblGrid>
            <w:tr>
              <w:tc>
                <w:tcPr>
                  <w:tcW w:w="4245" w:type="dxa"/>
                  <w:shd w:val="clear" w:fill="990134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FFFFFF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36"/>
                    </w:rPr>
                    <w:t xml:space="preserve">137 800 € H.A.I *</w:t>
                  </w:r>
                </w:p>
              </w:tc>
              <w:tc>
                <w:tcPr>
                  <w:tcW w:w="1257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0"/>
                    </w:rPr>
                  </w:pPr>
                </w:p>
              </w:tc>
            </w:tr>
            <w:tr>
              <w:tc>
                <w:tcPr>
                  <w:tcW w:w="5502" w:type="dxa"/>
                  <w:gridSpan w:val="2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14"/>
                    </w:rPr>
                  </w:pP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Prix honoraires exclus : 130 000 €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* Honoraires charge acquéreur : 6,00% TTC</w:t>
                  </w:r>
                </w:p>
              </w:tc>
            </w:tr>
          </w:tbl>
          <w:p>
            <w:pPr>
              <w:pStyle w:val="[Normal]"/>
              <w:ind w:left="134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drawing>
                <wp:inline distT="0" distB="0" distL="0" distR="0">
                  <wp:extent cx="1373505" cy="1206500"/>
                  <wp:docPr id="6" name="_tx_id_6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/>
                        </pic:nvPicPr>
                        <pic:blipFill>
                          <a:blip r:embed="rId00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 w:eastAsia="Century Gothic"/>
                <w:sz w:val="22"/>
              </w:rPr>
              <w:t xml:space="preserve">  </w:t>
            </w:r>
            <w:r>
              <w:drawing>
                <wp:inline distT="0" distB="0" distL="0" distR="0">
                  <wp:extent cx="1373505" cy="1233170"/>
                  <wp:docPr id="7" name="_tx_id_7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/>
                        </pic:nvPicPr>
                        <pic:blipFill>
                          <a:blip r:embed="rId000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Date de réalisation DPE :  06/07/2023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Année de référence :  2023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bas (dépenses énergétiques) : 2242 €</w:t>
            </w:r>
          </w:p>
          <w:p>
            <w:pPr>
              <w:pStyle w:val="[Normal]"/>
              <w:ind w:left="134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  <w:t xml:space="preserve">Montant haut (dépenses énergétiques) : 3034 €</w:t>
            </w:r>
          </w:p>
        </w:tc>
        <w:tc>
          <w:tcPr>
            <w:tcW w:w="14244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0186"/>
              <w:gridCol w:w="3986"/>
            </w:tblGrid>
            <w:tr>
              <w:trPr>
                <w:trHeight w:val="397" w:hRule="atLeast"/>
              </w:trPr>
              <w:tc>
                <w:tcPr>
                  <w:tcW w:w="10186" w:type="dxa"/>
                  <w:shd w:val="clear" w:fill="FFFFFF"/>
                  <w:vAlign w:val="center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b w:val="on"/>
                      <w:color w:val="FFFFFF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FFFFFF"/>
                      <w:sz w:val="6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48"/>
                    </w:rPr>
                    <w:t xml:space="preserve">Région FIGEAC  - Maison Ancienne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"/>
                    </w:rPr>
                  </w:pPr>
                </w:p>
              </w:tc>
              <w:tc>
                <w:tcPr>
                  <w:tcW w:w="3986" w:type="dxa"/>
                  <w:shd w:val="clear" w:fill="FFFFFF"/>
                  <w:vAlign w:val="bottom"/>
                </w:tcPr>
                <w:p>
                  <w:pPr>
                    <w:pStyle w:val="[Normal]"/>
                    <w:jc w:val="right"/>
                    <w:rPr>
                      <w:rFonts w:ascii="Century Gothic" w:hAnsi="Century Gothic" w:eastAsia="Century Gothic"/>
                      <w:b w:val="on"/>
                      <w:color w:val="990134"/>
                      <w:sz w:val="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990134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990134"/>
                      <w:sz w:val="32"/>
                    </w:rPr>
                    <w:t xml:space="preserve">Ref : FG3306</w:t>
                  </w:r>
                </w:p>
              </w:tc>
            </w:tr>
          </w:tbl>
          <w:p>
            <w:pPr>
              <w:pStyle w:val="[Normal]"/>
              <w:jc w:val="both"/>
              <w:rPr>
                <w:rFonts w:ascii="Century Gothic" w:hAnsi="Century Gothic" w:eastAsia="Century Gothic"/>
                <w:sz w:val="22"/>
              </w:rPr>
            </w:pP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Cette grande maison traditionnelle proche de Figeac, environ 6 Km, peut accueillir une grande famille en habitation principale ou en locatif.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Bâtie sur caves et garage elle est composée au rez-de-chaussée d'un grand séjour/salle à manger de 55 m², d'une cuisine équipée séparée, d'une salle d'eau et WC. A l'étage un couloir distribue 5 chambres dont certaines avec lavabo, une salle de bain et WC. Le grenier très vaste peut dégager de l'espace supplémentaire.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Chauffage pompe à chaleur pour le rdc et radiateurs électriques pour l'étage.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  <w:b w:val="on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Possibilité d'acquérir une grange mitoyenne avec plus de 200 m² au total.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b w:val="on"/>
              </w:rPr>
              <w:t xml:space="preserve">Sa situation sur un grand axe de circulation permet d'accéder aux commerces et centre- ville de Figeac en moins de 10 mn. </w:t>
            </w:r>
          </w:p>
          <w:p>
            <w:pPr>
              <w:pStyle w:val="[Normal]"/>
              <w:jc w:val="both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</w:rPr>
              <w:t xml:space="preserve">Les informations sur les risques auxquels ce bien est exposé sont disponibles sur le site Géorisques: www.georisques.gouv.fr </w:t>
            </w:r>
          </w:p>
        </w:tc>
        <w:tc>
          <w:tcPr>
            <w:tcW w:w="3461" w:type="dxa"/>
            <w:vMerge w:val="continue"/>
            <w:shd w:val="clear" w:fill="auto"/>
            <w:vAlign w:val="top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</w:rPr>
      </w:pPr>
    </w:p>
    <w:sectPr>
      <w:headerReference w:type="default" r:id="rId00017"/>
      <w:footerReference w:type="default" r:id="rId00018"/>
      <w:pgSz w:w="23811" w:h="16838" w:orient="landscape"/>
      <w:pgMar w:top="340" w:right="397" w:bottom="170" w:left="170" w:header="113" w:footer="17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3250"/>
    </w:tblGrid>
    <w:tr>
      <w:tc>
        <w:tcPr>
          <w:tcW w:w="23250" w:type="dxa"/>
          <w:shd w:val="clear" w:fill="40404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6"/>
            </w:rPr>
          </w:pPr>
        </w:p>
      </w:tc>
    </w:tr>
    <w:tr>
      <w:tc>
        <w:tcPr>
          <w:tcW w:w="23250" w:type="dxa"/>
          <w:shd w:val="clear" w:fill="FFFFFF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b w:val="on"/>
              <w:color w:val="FFFFFF"/>
              <w:sz w:val="4"/>
            </w:rPr>
          </w:pPr>
        </w:p>
      </w:tc>
    </w:tr>
    <w:tr>
      <w:tc>
        <w:tcPr>
          <w:tcW w:w="23250" w:type="dxa"/>
          <w:shd w:val="clear" w:fill="990134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Tel : +33 (0)5 65 34 34 15 - contact@iferganeimmobilier.fr - 5 place Carnot, 46100 Figeac - </w:t>
          </w:r>
          <w:r>
            <w:rPr>
              <w:rFonts w:ascii="Century Gothic" w:hAnsi="Century Gothic" w:eastAsia="Century Gothic"/>
              <w:b w:val="on"/>
              <w:color w:val="FFFFFF"/>
              <w:sz w:val="28"/>
            </w:rPr>
            <w:t xml:space="preserve">https://www.iferganeimmobilier.fr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2" Type="http://schemas.openxmlformats.org/officeDocument/2006/relationships/image" Target="media/image0008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