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7032"/>
        <w:gridCol w:w="6346"/>
      </w:tblGrid>
      <w:tr>
        <w:tc>
          <w:tcPr>
            <w:tcW w:w="17032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drawing>
                <wp:inline distT="0" distB="0" distL="0" distR="0">
                  <wp:extent cx="9772650" cy="54940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0" cy="549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  <w:r>
              <w:drawing>
                <wp:inline distT="0" distB="0" distL="0" distR="0">
                  <wp:extent cx="1504950" cy="4572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</w:tc>
      </w:tr>
      <w:tr>
        <w:tc>
          <w:tcPr>
            <w:tcW w:w="17032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6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990134"/>
                <w:sz w:val="48"/>
                <w:shd w:val="clear" w:fill="FFFFFF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  <w:t xml:space="preserve">Maison Ancienne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  273 000 €</w:t>
            </w:r>
            <w:r>
              <w:rPr>
                <w:rFonts w:ascii="Century Gothic" w:hAnsi="Century Gothic" w:eastAsia="Century Gothic"/>
                <w:sz w:val="40"/>
                <w:shd w:val="clear" w:fill="990134"/>
              </w:rPr>
              <w:t xml:space="preserve"> </w:t>
            </w: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H.A.I *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b w:val="on"/>
                <w:sz w:val="22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Prix honoraires exclus : 260 000 € </w:t>
            </w: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Honoraires charge acquéreur : 5,00% TTC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Cette grande maison de style années 30 avec jardin, dispose de 220 m² habitables, avec deux appartements possibles et d'un grand sous-sol avec plusieurs garages.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Sa situation privilégiée rend facilement accessibles à pied, aussi bien les commerces que les activités scolaires ou ludiques.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Rez-de-chaussée : entrée sur une cage d'escalier qui permet de desservir les niveaux de manière indépendante.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Premier niveau : 3 chambres, bureau, salon et salle à manger, cuisine à équiper, salle de bain avec WC séparé. Certaines pièces bénéficient de balcons et une grande terrasse donne sur le jardin.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Deuxième niveau : 3 chambres, bureau, salon et salle à manger, cuisine à équiper, salle de bain et Wc indépendant. Certaines pièces sont avec balcons.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Sous-sol en partie caves avec garages coté rue.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L'implantation de la maison fait la part belle à un charmant jardin sans vis à vis.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Les informations sur les risques auxquels ce bien est exposé sont disponibles sur le site Géorisques www.georisques.gouv.fr</w:t>
            </w:r>
          </w:p>
        </w:tc>
      </w:tr>
      <w:tr>
        <w:tc>
          <w:tcPr>
            <w:tcW w:w="17032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fil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28"/>
                      <w:shd w:val="clear" w:fill="FFFFFF"/>
                    </w:rPr>
                    <w:t xml:space="preserve">          </w:t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6"/>
                      <w:shd w:val="clear" w:fill="FFFFFF"/>
                    </w:rPr>
                    <w:t xml:space="preserve">Ref : FG3295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6</w:t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</w:t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220</w: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m²</w:t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584 m²</w:t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4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32"/>
                    </w:rPr>
                    <w:t xml:space="preserve">     </w:t>
                  </w:r>
                  <w:r>
                    <w:rPr>
                      <w:rFonts w:ascii="Century Gothic" w:hAnsi="Century Gothic" w:eastAsia="Century Gothic"/>
                      <w:b w:val="on"/>
                      <w:sz w:val="26"/>
                    </w:rPr>
                    <w:t xml:space="preserve">      Scannez moi !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4" w:type="dxa"/>
                  <w:gridSpan w:val="3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Date de réalisation DPE :  24/06/2024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Année de référence :  2021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bas (dépenses énergétiques) : 3468 €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haut (dépenses énergétiques) : 4692 €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857375" cy="18573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  <w:shd w:val="clear" w:fill="990134"/>
              </w:rPr>
            </w:pPr>
          </w:p>
        </w:tc>
        <w:tc>
          <w:tcPr>
            <w:tcW w:w="6346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[Normal]"/>
        <w:rPr>
          <w:rFonts w:ascii="Century Gothic" w:hAnsi="Century Gothic" w:eastAsia="Century Gothic"/>
          <w:sz w:val="8"/>
          <w:shd w:val="clear" w:fill="990134"/>
        </w:rPr>
      </w:pPr>
    </w:p>
    <w:sectPr>
      <w:headerReference w:type="default" r:id="rId00015"/>
      <w:footerReference w:type="default" r:id="rId00016"/>
      <w:pgSz w:w="23811" w:h="16838" w:orient="landscape"/>
      <w:pgMar w:top="397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