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25631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Etienne et Sophie FORETNEGRE - CHASSANG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BEDUER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0670060717 Mme / 0630689080 Mr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 etienne.foretnegre@gmail.com   etienne1492@hotmail.fr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05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