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7032"/>
        <w:gridCol w:w="6346"/>
      </w:tblGrid>
      <w:tr>
        <w:tc>
          <w:tcPr>
            <w:tcW w:w="17032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6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6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drawing>
                <wp:inline distT="0" distB="0" distL="0" distR="0">
                  <wp:extent cx="9386570" cy="640651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6570" cy="640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6" w:type="dxa"/>
            <w:tcBorders>
              <w:bottom w:val="single" w:sz="14" w:space="0" w:color="808080"/>
            </w:tcBorders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hd w:val="clear" w:fill="FFFFFF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hd w:val="clear" w:fill="FFFFFF"/>
              </w:rPr>
            </w:pPr>
            <w:r>
              <w:drawing>
                <wp:inline distT="0" distB="0" distL="0" distR="0">
                  <wp:extent cx="1504950" cy="45720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hd w:val="clear" w:fill="FFFFFF"/>
              </w:rPr>
            </w:pPr>
          </w:p>
        </w:tc>
      </w:tr>
      <w:tr>
        <w:tc>
          <w:tcPr>
            <w:tcW w:w="17032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46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hd w:val="clear" w:fill="FFFFFF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  <w:r>
              <w:rPr>
                <w:rFonts w:ascii="Century Gothic" w:hAnsi="Century Gothic" w:eastAsia="Century Gothic"/>
                <w:b w:val="on"/>
                <w:color w:val="990134"/>
                <w:sz w:val="48"/>
                <w:shd w:val="clear" w:fill="FFFFFF"/>
              </w:rPr>
              <w:t xml:space="preserve">Région LACAPELLE MARIVAL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40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sz w:val="40"/>
                <w:shd w:val="clear" w:fill="FFFFFF"/>
              </w:rPr>
              <w:t xml:space="preserve">Maison Contemporaine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FFFFFF"/>
                <w:sz w:val="40"/>
                <w:shd w:val="clear" w:fill="990134"/>
              </w:rPr>
            </w:pPr>
            <w:r>
              <w:rPr>
                <w:rFonts w:ascii="Century Gothic" w:hAnsi="Century Gothic" w:eastAsia="Century Gothic"/>
                <w:b w:val="on"/>
                <w:color w:val="FFFFFF"/>
                <w:sz w:val="40"/>
                <w:shd w:val="clear" w:fill="990134"/>
              </w:rPr>
              <w:t xml:space="preserve">  168 000 €</w:t>
            </w:r>
            <w:r>
              <w:rPr>
                <w:rFonts w:ascii="Century Gothic" w:hAnsi="Century Gothic" w:eastAsia="Century Gothic"/>
                <w:sz w:val="40"/>
                <w:shd w:val="clear" w:fill="990134"/>
              </w:rPr>
              <w:t xml:space="preserve"> </w:t>
            </w:r>
            <w:r>
              <w:rPr>
                <w:rFonts w:ascii="Century Gothic" w:hAnsi="Century Gothic" w:eastAsia="Century Gothic"/>
                <w:b w:val="on"/>
                <w:color w:val="FFFFFF"/>
                <w:sz w:val="40"/>
                <w:shd w:val="clear" w:fill="990134"/>
              </w:rPr>
              <w:t xml:space="preserve">H.A.I *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</w:p>
          <w:p>
            <w:pPr>
              <w:pStyle w:val="[Normal]"/>
              <w:ind w:left="81"/>
              <w:rPr>
                <w:rFonts w:ascii="Century Gothic" w:hAnsi="Century Gothic" w:eastAsia="Century Gothic"/>
                <w:b w:val="on"/>
                <w:sz w:val="22"/>
              </w:rPr>
            </w:pPr>
            <w:r>
              <w:rPr>
                <w:rFonts w:ascii="Century Gothic" w:hAnsi="Century Gothic" w:eastAsia="Century Gothic"/>
                <w:b w:val="on"/>
                <w:sz w:val="22"/>
              </w:rPr>
              <w:t xml:space="preserve">* Prix honoraires exclus : 160 000 € </w:t>
            </w:r>
          </w:p>
          <w:p>
            <w:pPr>
              <w:pStyle w:val="[Normal]"/>
              <w:ind w:left="81"/>
              <w:rPr>
                <w:rFonts w:ascii="Century Gothic" w:hAnsi="Century Gothic" w:eastAsia="Century Gothic"/>
                <w:sz w:val="22"/>
                <w:shd w:val="clear" w:fill="990134"/>
              </w:rPr>
            </w:pPr>
            <w:r>
              <w:rPr>
                <w:rFonts w:ascii="Century Gothic" w:hAnsi="Century Gothic" w:eastAsia="Century Gothic"/>
                <w:b w:val="on"/>
                <w:sz w:val="22"/>
              </w:rPr>
              <w:t xml:space="preserve">* Honoraires charge acquéreur : 5,00% TTC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Cette maison est située au calme dans un village avec des commerces de proximité et une école.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Cette habitation des années 80 est bâtie sur une sous-sol complet de 90 m² dont 2 garages et offre 132 m² habitables répartis sur 2 niveaux.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En rez-de-chaussée un espace plain pied, composé d'une cuisine indépendante d'un séjour, de 2 chambres, d'une salle de bain et un WC séparé.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Etage avec 3 chambres et une salle d'eau avec WC.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Un chauffage central à granulés et des menuiseries double vitrage assurent un bon niveau de confort.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L'assainissement est collectif avec l'installation du tout à l'égout. 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sz w:val="22"/>
                <w:shd w:val="clear" w:fill="990134"/>
              </w:rPr>
            </w:pPr>
            <w:r>
              <w:rPr>
                <w:rFonts w:ascii="Century Gothic" w:hAnsi="Century Gothic" w:eastAsia="Century Gothic"/>
                <w:color w:val="000000"/>
                <w:sz w:val="28"/>
                <w:shd w:val="clear" w:fill="FFFFFF"/>
              </w:rPr>
              <w:t xml:space="preserve">Les informations sur les risques auxquels ce bien est exposé sont disponibles sur le site Géorisques: www.georisques.gouv.fr</w:t>
            </w:r>
          </w:p>
        </w:tc>
      </w:tr>
      <w:tr>
        <w:tc>
          <w:tcPr>
            <w:tcW w:w="17032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color w:val="000000"/>
                <w:sz w:val="6"/>
                <w:shd w:val="clear" w:fill="FFFFFF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844"/>
              <w:gridCol w:w="2846"/>
              <w:gridCol w:w="2211"/>
              <w:gridCol w:w="2154"/>
              <w:gridCol w:w="3019"/>
              <w:gridCol w:w="3886"/>
            </w:tblGrid>
            <w:tr>
              <w:tc>
                <w:tcPr>
                  <w:tcW w:w="284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0" behindDoc="0" locked="0" layoutInCell="1" allowOverlap="1" hidden="false">
                        <wp:simplePos x="0" y="0"/>
                        <wp:positionH relativeFrom="column">
                          <wp:posOffset>671830</wp:posOffset>
                        </wp:positionH>
                        <wp:positionV relativeFrom="paragraph">
                          <wp:posOffset>60960</wp:posOffset>
                        </wp:positionV>
                        <wp:extent cx="457200" cy="457200"/>
                        <wp:wrapSquare wrapText="bothSides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84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1" behindDoc="0" locked="0" layoutInCell="1" allowOverlap="1" hidden="false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36830</wp:posOffset>
                        </wp:positionV>
                        <wp:extent cx="457200" cy="457200"/>
                        <wp:wrapSquare wrapText="bothSides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11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2" behindDoc="0" locked="0" layoutInCell="1" allowOverlap="1" hidden="false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62865</wp:posOffset>
                        </wp:positionV>
                        <wp:extent cx="493395" cy="493395"/>
                        <wp:wrapSquare wrapText="bothSides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395" cy="493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5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3" behindDoc="0" locked="0" layoutInCell="1" allowOverlap="1" hidden="false">
                        <wp:simplePos x="0" y="0"/>
                        <wp:positionH relativeFrom="column">
                          <wp:posOffset>417195</wp:posOffset>
                        </wp:positionH>
                        <wp:positionV relativeFrom="paragraph">
                          <wp:posOffset>71755</wp:posOffset>
                        </wp:positionV>
                        <wp:extent cx="457200" cy="457200"/>
                        <wp:wrapSquare wrapText="bothSides"/>
                        <wp:docPr id="9" name="_tx_id_9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/>
                              </pic:nvPicPr>
                              <pic:blipFill>
                                <a:blip r:embed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019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4" behindDoc="0" locked="0" layoutInCell="1" allowOverlap="1" hidden="false">
                        <wp:simplePos x="0" y="0"/>
                        <wp:positionH relativeFrom="column">
                          <wp:posOffset>721995</wp:posOffset>
                        </wp:positionH>
                        <wp:positionV relativeFrom="paragraph">
                          <wp:posOffset>74930</wp:posOffset>
                        </wp:positionV>
                        <wp:extent cx="457200" cy="457200"/>
                        <wp:wrapSquare wrapText="bothSides"/>
                        <wp:docPr id="10" name="_tx_id_10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/>
                              </pic:nvPicPr>
                              <pic:blipFill>
                                <a:blip r:embed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28"/>
                      <w:shd w:val="clear" w:fill="FFFFFF"/>
                    </w:rPr>
                    <w:t xml:space="preserve">          </w:t>
                  </w: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36"/>
                      <w:shd w:val="clear" w:fill="FFFFFF"/>
                    </w:rPr>
                    <w:t xml:space="preserve">Ref : FG3298</w:t>
                  </w:r>
                </w:p>
              </w:tc>
            </w:tr>
            <w:tr>
              <w:tc>
                <w:tcPr>
                  <w:tcW w:w="284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5</w:t>
                  </w:r>
                </w:p>
              </w:tc>
              <w:tc>
                <w:tcPr>
                  <w:tcW w:w="284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2</w:t>
                  </w:r>
                </w:p>
              </w:tc>
              <w:tc>
                <w:tcPr>
                  <w:tcW w:w="2211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132</w:t>
                  </w:r>
                  <w:r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m²</w:t>
                  </w:r>
                </w:p>
              </w:tc>
              <w:tc>
                <w:tcPr>
                  <w:tcW w:w="215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1 239 m²</w:t>
                  </w:r>
                </w:p>
              </w:tc>
              <w:tc>
                <w:tcPr>
                  <w:tcW w:w="3019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2</w:t>
                  </w:r>
                </w:p>
              </w:tc>
              <w:tc>
                <w:tcPr>
                  <w:tcW w:w="38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0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36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 w:val="on"/>
                      <w:sz w:val="32"/>
                    </w:rPr>
                    <w:t xml:space="preserve">     </w:t>
                  </w:r>
                  <w:r>
                    <w:rPr>
                      <w:rFonts w:ascii="Century Gothic" w:hAnsi="Century Gothic" w:eastAsia="Century Gothic"/>
                      <w:b w:val="on"/>
                      <w:sz w:val="26"/>
                    </w:rPr>
                    <w:t xml:space="preserve">      Scannez moi !</w:t>
                  </w:r>
                </w:p>
              </w:tc>
            </w:tr>
            <w:tr>
              <w:tc>
                <w:tcPr>
                  <w:tcW w:w="284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hd w:val="clear" w:fill="FFFFFF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0"/>
                      <w:shd w:val="clear" w:fill="FFFFFF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hd w:val="clear" w:fill="FFFFFF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0"/>
                      <w:shd w:val="clear" w:fill="FFFFFF"/>
                    </w:rPr>
                  </w:pP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4" w:type="dxa"/>
                  <w:gridSpan w:val="3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6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Date de réalisation DPE : 21/10/2022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8"/>
                      <w:shd w:val="clear" w:fill="FFFFFF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6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2"/>
                      <w:shd w:val="clear" w:fill="FFFFFF"/>
                    </w:rPr>
                    <w:t xml:space="preserve">Année de référence :  2021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8"/>
                      <w:shd w:val="clear" w:fill="FFFFFF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6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2"/>
                      <w:shd w:val="clear" w:fill="FFFFFF"/>
                    </w:rPr>
                    <w:t xml:space="preserve">Montant bas (dépenses énergétiques) : 1250 €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8"/>
                      <w:shd w:val="clear" w:fill="FFFFFF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6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2"/>
                      <w:shd w:val="clear" w:fill="FFFFFF"/>
                    </w:rPr>
                    <w:t xml:space="preserve">Montant haut (dépenses énergétiques) : 1750 €</w:t>
                  </w:r>
                </w:p>
              </w:tc>
              <w:tc>
                <w:tcPr>
                  <w:tcW w:w="38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inline distT="0" distB="0" distL="0" distR="0">
                        <wp:extent cx="1857375" cy="185737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7375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  <w:shd w:val="clear" w:fill="990134"/>
              </w:rPr>
            </w:pPr>
          </w:p>
        </w:tc>
        <w:tc>
          <w:tcPr>
            <w:tcW w:w="6346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pStyle w:val="[Normal]"/>
        <w:rPr>
          <w:rFonts w:ascii="Century Gothic" w:hAnsi="Century Gothic" w:eastAsia="Century Gothic"/>
          <w:sz w:val="8"/>
          <w:shd w:val="clear" w:fill="990134"/>
        </w:rPr>
      </w:pPr>
    </w:p>
    <w:sectPr>
      <w:headerReference w:type="default" r:id="rId00015"/>
      <w:footerReference w:type="default" r:id="rId00016"/>
      <w:pgSz w:w="23811" w:h="16838" w:orient="landscape"/>
      <w:pgMar w:top="397" w:right="397" w:bottom="170" w:left="170" w:header="113" w:footer="17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3250"/>
    </w:tblGrid>
    <w:tr>
      <w:tc>
        <w:tcPr>
          <w:tcW w:w="23250" w:type="dxa"/>
          <w:shd w:val="clear" w:fill="40404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6"/>
            </w:rPr>
          </w:pPr>
        </w:p>
      </w:tc>
    </w:tr>
    <w:tr>
      <w:tc>
        <w:tcPr>
          <w:tcW w:w="23250" w:type="dxa"/>
          <w:shd w:val="clear" w:fill="FFFFFF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4"/>
            </w:rPr>
          </w:pPr>
        </w:p>
      </w:tc>
    </w:tr>
    <w:tr>
      <w:tc>
        <w:tcPr>
          <w:tcW w:w="23250" w:type="dxa"/>
          <w:shd w:val="clear" w:fill="990134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Tel : +33 (0)5 65 34 34 15 - contact@iferganeimmobilier.fr - 5 place Carnot, 46100 Figeac - </w:t>
          </w: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https://www.iferganeimmobilier.fr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rPr>
        <w:sz w:val="2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5" Type="http://schemas.openxmlformats.org/officeDocument/2006/relationships/header" Target="header0001.xml"/>
	<Relationship Id="rId00016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7" Type="http://schemas.openxmlformats.org/officeDocument/2006/relationships/numbering" Target="numbering.xml"/>
	<Relationship Id="rId00018" Type="http://schemas.openxmlformats.org/officeDocument/2006/relationships/fontTable" Target="fontTable.xml"/>
	<Relationship Id="rId0001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