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6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150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1 020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281 400 €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268 000 €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5349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5984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25/07/2022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1465 €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1981 €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FIGEAC  -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48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FG3293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Un bel emplacement avec vue, dans un quartier résidentiel calme, pour cette spacieuse et lumineuse maison entièrement rénovée.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Elle offre 150 m² habitables dont 3 chambres en rez-de-chaussée et 3 chambres à l'étage. La cuisine indépentante bien équipée et la pièce de vie salon/salle à manger donnent sur un beau balcon plein sud avec vue dominante.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Grand garage avec porte électrique et aire de parking devant.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Jardin clôturé.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