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7032"/>
        <w:gridCol w:w="6346"/>
      </w:tblGrid>
      <w:tr>
        <w:tc>
          <w:tcPr>
            <w:tcW w:w="17032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6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6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drawing>
                <wp:inline distT="0" distB="0" distL="0" distR="0">
                  <wp:extent cx="9300845" cy="676084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845" cy="676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  <w:r>
              <w:drawing>
                <wp:inline distT="0" distB="0" distL="0" distR="0">
                  <wp:extent cx="1257300" cy="3810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</w:p>
        </w:tc>
      </w:tr>
      <w:tr>
        <w:tc>
          <w:tcPr>
            <w:tcW w:w="17032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46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color w:val="990134"/>
                <w:sz w:val="48"/>
                <w:shd w:val="clear" w:fill="FFFFFF"/>
              </w:rPr>
              <w:t xml:space="preserve">Région FIGEAC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sz w:val="40"/>
                <w:shd w:val="clear" w:fill="FFFFFF"/>
              </w:rPr>
              <w:t xml:space="preserve">Maison Contemporaine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color w:val="FFFFFF"/>
                <w:sz w:val="40"/>
                <w:shd w:val="clear" w:fill="990134"/>
              </w:rPr>
              <w:t xml:space="preserve">  137 800 €</w:t>
            </w:r>
            <w:r>
              <w:rPr>
                <w:rFonts w:ascii="Century Gothic" w:hAnsi="Century Gothic" w:eastAsia="Century Gothic"/>
                <w:sz w:val="40"/>
                <w:shd w:val="clear" w:fill="990134"/>
              </w:rPr>
              <w:t xml:space="preserve"> </w:t>
            </w:r>
            <w:r>
              <w:rPr>
                <w:rFonts w:ascii="Century Gothic" w:hAnsi="Century Gothic" w:eastAsia="Century Gothic"/>
                <w:b w:val="on"/>
                <w:color w:val="FFFFFF"/>
                <w:sz w:val="40"/>
                <w:shd w:val="clear" w:fill="990134"/>
              </w:rPr>
              <w:t xml:space="preserve">H.A.I *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  <w:p>
            <w:pPr>
              <w:pStyle w:val="[Normal]"/>
              <w:ind w:left="81"/>
              <w:rPr>
                <w:rFonts w:ascii="Century Gothic" w:hAnsi="Century Gothic" w:eastAsia="Century Gothic"/>
                <w:b w:val="on"/>
                <w:sz w:val="22"/>
              </w:rPr>
            </w:pPr>
            <w:r>
              <w:rPr>
                <w:rFonts w:ascii="Century Gothic" w:hAnsi="Century Gothic" w:eastAsia="Century Gothic"/>
                <w:b w:val="on"/>
                <w:sz w:val="22"/>
              </w:rPr>
              <w:t xml:space="preserve">* Prix honoraires exclus : 130 000 € </w:t>
            </w:r>
          </w:p>
          <w:p>
            <w:pPr>
              <w:pStyle w:val="[Normal]"/>
              <w:ind w:left="81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sz w:val="22"/>
              </w:rPr>
              <w:t xml:space="preserve">* Honoraires charge acquéreur : 6,00% TTC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  <w:t xml:space="preserve">La situation de cette maison est proche des commerces et des établissements scolaires et bénéficie de la navette gratuite pour les déplacements en ville.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  <w:t xml:space="preserve">Bâtie sur sous-sol avec garage, atelier et chaufferie, elle offre environ 80 m² habitables au premier étage.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  <w:t xml:space="preserve">Elle est composée d'un séjour salon/salle à manger, d'une cuisine indépendante, de 3 chambres, une salle d'eau et WC séparé.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  <w:t xml:space="preserve">Un rafraîchissement général et quelques travaux de confort seront à prévoir pour profiter pleinement de cette habitation.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  <w:t xml:space="preserve">Elle est implantée sur un terrain de 530 m² avec raccordement à l'assainissement collectif.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  <w:t xml:space="preserve">Les informations sur les risques auquel ce bien est exposé sont disponibles sur le site Géorisques www.georisques.gouv.fr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</w:tc>
      </w:tr>
      <w:tr>
        <w:tc>
          <w:tcPr>
            <w:tcW w:w="17032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color w:val="000000"/>
                <w:sz w:val="6"/>
                <w:shd w:val="clear" w:fill="FFFFFF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844"/>
              <w:gridCol w:w="2846"/>
              <w:gridCol w:w="2211"/>
              <w:gridCol w:w="2154"/>
              <w:gridCol w:w="3019"/>
              <w:gridCol w:w="3886"/>
            </w:tblGrid>
            <w:tr>
              <w:tc>
                <w:tcPr>
                  <w:tcW w:w="284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671830</wp:posOffset>
                        </wp:positionH>
                        <wp:positionV relativeFrom="paragraph">
                          <wp:posOffset>60960</wp:posOffset>
                        </wp:positionV>
                        <wp:extent cx="457200" cy="457200"/>
                        <wp:wrapSquare wrapText="bothSides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84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36830</wp:posOffset>
                        </wp:positionV>
                        <wp:extent cx="457200" cy="457200"/>
                        <wp:wrapSquare wrapText="bothSides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11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62865</wp:posOffset>
                        </wp:positionV>
                        <wp:extent cx="493395" cy="493395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95" cy="49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5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417195</wp:posOffset>
                        </wp:positionH>
                        <wp:positionV relativeFrom="paragraph">
                          <wp:posOffset>71755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19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721995</wp:posOffset>
                        </wp:positionH>
                        <wp:positionV relativeFrom="paragraph">
                          <wp:posOffset>74930</wp:posOffset>
                        </wp:positionV>
                        <wp:extent cx="457200" cy="457200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28"/>
                      <w:shd w:val="clear" w:fill="FFFFFF"/>
                    </w:rPr>
                    <w:t xml:space="preserve">          </w:t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6"/>
                      <w:shd w:val="clear" w:fill="FFFFFF"/>
                    </w:rPr>
                    <w:t xml:space="preserve">Ref : FG3291</w:t>
                  </w:r>
                </w:p>
              </w:tc>
            </w:tr>
            <w:tr>
              <w:tc>
                <w:tcPr>
                  <w:tcW w:w="284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3</w:t>
                  </w:r>
                </w:p>
              </w:tc>
              <w:tc>
                <w:tcPr>
                  <w:tcW w:w="284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  <w:t xml:space="preserve">1</w:t>
                  </w:r>
                </w:p>
              </w:tc>
              <w:tc>
                <w:tcPr>
                  <w:tcW w:w="2211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77</w:t>
                  </w:r>
                  <w:r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m²</w:t>
                  </w:r>
                </w:p>
              </w:tc>
              <w:tc>
                <w:tcPr>
                  <w:tcW w:w="215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530 m²</w:t>
                  </w:r>
                </w:p>
              </w:tc>
              <w:tc>
                <w:tcPr>
                  <w:tcW w:w="3019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1</w:t>
                  </w:r>
                </w:p>
              </w:tc>
              <w:tc>
                <w:tcPr>
                  <w:tcW w:w="38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0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36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 w:val="on"/>
                      <w:sz w:val="32"/>
                    </w:rPr>
                    <w:t xml:space="preserve">     </w:t>
                  </w:r>
                  <w:r>
                    <w:rPr>
                      <w:rFonts w:ascii="Century Gothic" w:hAnsi="Century Gothic" w:eastAsia="Century Gothic"/>
                      <w:b w:val="on"/>
                      <w:sz w:val="26"/>
                    </w:rPr>
                    <w:t xml:space="preserve">      Scannez moi !</w:t>
                  </w:r>
                </w:p>
              </w:tc>
            </w:tr>
            <w:tr>
              <w:tc>
                <w:tcPr>
                  <w:tcW w:w="284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hd w:val="clear" w:fill="FFFFFF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0"/>
                      <w:shd w:val="clear" w:fill="FFFFFF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hd w:val="clear" w:fill="FFFFFF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0"/>
                      <w:shd w:val="clear" w:fill="FFFFFF"/>
                    </w:rPr>
                  </w:pP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4" w:type="dxa"/>
                  <w:gridSpan w:val="3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Date de réalisation DPE :  05/03/2024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8"/>
                      <w:shd w:val="clear" w:fill="FFFFFF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2"/>
                      <w:shd w:val="clear" w:fill="FFFFFF"/>
                    </w:rPr>
                    <w:t xml:space="preserve">Année de référence :  01/01/2021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8"/>
                      <w:shd w:val="clear" w:fill="FFFFFF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2"/>
                      <w:shd w:val="clear" w:fill="FFFFFF"/>
                    </w:rPr>
                    <w:t xml:space="preserve">Montant bas (dépenses énergétiques) :  1551 €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8"/>
                      <w:shd w:val="clear" w:fill="FFFFFF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2"/>
                      <w:shd w:val="clear" w:fill="FFFFFF"/>
                    </w:rPr>
                    <w:t xml:space="preserve">Montant haut (dépenses énergétiques) :  2099 €</w:t>
                  </w:r>
                </w:p>
              </w:tc>
              <w:tc>
                <w:tcPr>
                  <w:tcW w:w="38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inline distT="0" distB="0" distL="0" distR="0">
                        <wp:extent cx="1857375" cy="185737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7375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  <w:shd w:val="clear" w:fill="990134"/>
              </w:rPr>
            </w:pPr>
          </w:p>
        </w:tc>
        <w:tc>
          <w:tcPr>
            <w:tcW w:w="6346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[Normal]"/>
        <w:rPr>
          <w:rFonts w:ascii="Century Gothic" w:hAnsi="Century Gothic" w:eastAsia="Century Gothic"/>
          <w:sz w:val="8"/>
          <w:shd w:val="clear" w:fill="990134"/>
        </w:rPr>
      </w:pPr>
    </w:p>
    <w:sectPr>
      <w:headerReference w:type="default" r:id="rId00015"/>
      <w:footerReference w:type="default" r:id="rId00016"/>
      <w:pgSz w:w="23811" w:h="16838" w:orient="landscape"/>
      <w:pgMar w:top="397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</w:t>
          </w: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5" Type="http://schemas.openxmlformats.org/officeDocument/2006/relationships/header" Target="header0001.xml"/>
	<Relationship Id="rId00016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7" Type="http://schemas.openxmlformats.org/officeDocument/2006/relationships/numbering" Target="numbering.xml"/>
	<Relationship Id="rId00018" Type="http://schemas.openxmlformats.org/officeDocument/2006/relationships/fontTable" Target="fontTable.xml"/>
	<Relationship Id="rId0001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