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GD2055    -    Prix: 174 900 € FAI dont 6%HA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165 000€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Coeur de Causse - Grande Maison avec jardin et garage proche commerces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151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4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58485" cy="42176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8485" cy="4217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Coeur de Causse. Jouissant d'un agréable espace jardin avec petit verger et potager, cette grande et lumineuse </w:t>
      </w:r>
      <w:r>
        <w:rPr>
          <w:b w:val="on"/>
          <w:color w:val="FF0000"/>
          <w:sz w:val="32"/>
        </w:rPr>
        <w:t xml:space="preserve">Maison</w:t>
      </w:r>
      <w:r>
        <w:rPr>
          <w:b w:val="on"/>
          <w:color w:val="0000FF"/>
          <w:sz w:val="28"/>
        </w:rPr>
        <w:t xml:space="preserve"> distribue 158 m² habitables dont 5 chambres et spacieuse surface de séjour. Terrasse avec accès terrain et garage. A deux pas des commerces et écoles. Les informations sur les risques auxquels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