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GD2057    -    Prix: 235 000 € FAI dont 4.44%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225 000€ honoraires exclus 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Gourdon - Ravissante maison en pierre avec grande terrasse et jardin arboré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258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8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15000" cy="411480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Gourdon - Sur un agréable jardin arboré avec un grand espace terrasse, cette ravissante </w:t>
      </w:r>
      <w:r>
        <w:rPr>
          <w:b w:val="on"/>
          <w:color w:val="FF0000"/>
          <w:sz w:val="36"/>
        </w:rPr>
        <w:t xml:space="preserve">Maison en pierre</w:t>
      </w:r>
      <w:r>
        <w:rPr>
          <w:b w:val="on"/>
          <w:color w:val="0000FF"/>
          <w:sz w:val="28"/>
        </w:rPr>
        <w:t xml:space="preserve"> a été joliment restaurée - 92 m² habitables dont spacieux et lumineux espace de vie et 2 belles chambres.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auxquels ce bien est exposé sont disponibles sur le site Géorisques www.georisques.gouv.fr</w:t>
      </w:r>
    </w:p>
    <w:p>
      <w:pPr>
        <w:pStyle w:val="[Normal]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