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560320" cy="143700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et Madame BARBARA ET MARTIN KAVANAGH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Le Carriol 125 route du champs de Mongi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46310 CONCORES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 EXCLUSIF CONVERTI EN MANDAT NON EXCLUSIF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GD2025, mandat : 2 075 du 17/04/2024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2 075 le 17/04/2024,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Maison Ancienne sur 1 270 m², situé 46310 CONCORES, Le Carriol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265 000 €  ( deux cent soixante cinq mille  euros) restera le même mais le mandat excflusif est converti en non exclusif à partir de ce jour.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4.53 % TTC (TVA comprise 20 %) par mesure commerciale exceptionnelle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5 novembre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