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GD2049    -    Prix: 296 800 € FAI dont 6%HA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280 000€ honoraires exclus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Gourdon - Ensemble immobilier sur 8ha avec vue 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223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52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664200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4200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GOURDON - En situation dominante au calme dans une belle campagne, cet </w:t>
      </w:r>
      <w:r>
        <w:rPr>
          <w:b w:val="on"/>
          <w:color w:val="FF0000"/>
          <w:sz w:val="36"/>
        </w:rPr>
        <w:t xml:space="preserve">Ensemble immobilier</w:t>
      </w:r>
      <w:r>
        <w:rPr>
          <w:b w:val="on"/>
          <w:color w:val="0000FF"/>
          <w:sz w:val="28"/>
        </w:rPr>
        <w:t xml:space="preserve"> est idéalement implanté sur 8ha de prairies et bois. Jouissant d'une belle vue et piscine, la maison principale distribue 115 m² habitables dont 3 chambres, elle est accompagnée de plusieurs dépendances dont grange, hangar et annexes.Les informations sur les risques auxquels ce bien est exposé sont disponibles sur le site Géorisques: www.georisques.gouv.fr 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