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GD2044    -    Prix: 434 000 € FAI dont 4.58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415 000€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SECTEUR COEUR DE CAUSSE - Belle demeure restaurée avec piscine chauffée et jardin fleuri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165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5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09285" cy="370332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9285" cy="3703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Coeur de Causse - Dans un hameau typique des Causses du Quercy, à l'abri des regards, vous serez conquis par le charme, le confort et l'authenticité de cet </w:t>
      </w:r>
      <w:r>
        <w:rPr>
          <w:b w:val="on"/>
          <w:color w:val="FF0000"/>
          <w:sz w:val="36"/>
        </w:rPr>
        <w:t xml:space="preserve">ancien Presbytère restauré</w:t>
      </w:r>
      <w:r>
        <w:rPr>
          <w:b w:val="on"/>
          <w:color w:val="0000FF"/>
          <w:sz w:val="28"/>
        </w:rPr>
        <w:t xml:space="preserve">, bien implanté sur un jardin fleuri et clos de murets en pierre avec piscine chauffée - 190 m² habitables répartis en espaces de vie lumineux et fonctionnels dont 4 belles chambres. Agréables et charmants espaces terrasses. 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