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8374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Madame Liliane DESNOS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16 bis avenue du Barrez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12600 LACROIX-BARREZ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 EXCLUSIF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GD1937, mandat : 1 991 du 05/10/2022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1 991 le 05/10/2022,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Demeure Ancienne sur 362 m², situé 46300 GOURDON, Quartier des Cordeliers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350 000 €  (TROIS CENT CINQUANTE MILLE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4  %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10 août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