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sz w:val="4"/>
        </w:rPr>
      </w:pPr>
      <w:r>
        <w:rPr>
          <w:sz w:val="32"/>
        </w:rPr>
        <w:t xml:space="preserve">TAXE FONCIERE 550 €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GOURDON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128 400 €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GD2028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Secteur GOURDON - Agréable maison avec grange en pierre sur 1197 m² boisés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Campagne non isolée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Pièce à vivre 31 m² cuisine ouverte incluse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8,5 m² avec WC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3 Chambres en enfilade: 9 m² et 2 x 7 m² (surfaces corrigées)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Grange jolie grange en pierre de 30 m² par niveau (2)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Consommation énergétique en énergie primaire 288,00 KWHep/m²an 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Emission de gaz à effet de serre 8,00 Kgco2/m²an B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Date de réalisation DPE 04/05/2024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Electrique + bois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Tout à l'égout</w:t>
            </w:r>
          </w:p>
          <w:p>
            <w:pPr>
              <w:pStyle w:val="Type de détail"/>
            </w:pPr>
            <w:r>
              <w:t xml:space="preserve">Fenêtres: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Volets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10 mns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Dépendance GRANGE EN PIERRE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Boisé</w:t>
            </w:r>
          </w:p>
          <w:p>
            <w:pPr>
              <w:pStyle w:val="Type de détail"/>
            </w:pPr>
            <w:r>
              <w:t xml:space="preserve">Toiture: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Tuiles</w:t>
            </w:r>
          </w:p>
          <w:p>
            <w:pPr>
              <w:pStyle w:val="[Normal]"/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206240" cy="2361565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6240" cy="2361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Secteur Gourdon - Aux abords immédiats d'un village agréable et tranquille, sur un terrain boisé de 11a97ca, cette jolie Maison en pierre offre 63 m² habitables fonctionnels et bien restaurés - 3 chambres. Belle grange en pierre en complément avec appentis.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- La Maison. RDC. Séjour avec cuisine ouverte et poêle granulés de 31 m², salle d'eau avec wc de 8,5 m². Etage: 3 chambres en enfilade de 9 m² et 2 x 7 m².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Belle grange en pierre avec appentis en très bon état (couverture reprise) de 30 m² par niveau.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Tout à l'égout, double vitrage, chauffage électrique et au bois (poêle granulés).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auquel ce bien est exposé sont disponibles sur le site Géorisques www.georisques.gouv.fr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3108960" cy="174498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174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3108960" cy="174498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174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63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1 197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4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3 chambres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Electricité et bois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Pierre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Bon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Est Ouest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1900</w:t>
            </w:r>
          </w:p>
        </w:tc>
      </w:tr>
    </w:tbl>
    <w:p>
      <w:pPr>
        <w:pStyle w:val="[Normal]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59"/>
    </w:pPr>
    <w:rPr>
      <w:rFonts w:ascii="Trebuchet MS" w:hAnsi="Trebuchet MS" w:eastAsia="Trebuchet MS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