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CASSAGNE LEONE ET GUY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 AVENUE HENRI MAZET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comprenant une maison d'habitation et une dépendance aménagée en deux habitats (T1 et T2) sis 4 avenue HENRI MAZET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 section N° AE 356 pour une contenance cadastrale de 12a53ca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17 500 €    € TTC soit 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11 MAI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LEONE ET GUY CASSAGNE</w:t>
      </w:r>
    </w:p>
    <w:p>
      <w:pPr>
        <w:pStyle w:val="[Normal]"/>
        <w:rPr>
          <w:b w:val="on"/>
          <w:sz w:val="20"/>
        </w:rPr>
      </w:pPr>
      <w:r>
        <w:rPr>
          <w:b w:val="on"/>
          <w:sz w:val="20"/>
        </w:rPr>
        <w:t xml:space="preserve">4 rue HENRI MAZET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17 500 €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 mai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