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2 076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BROOKER FRANCOISE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THE WILLOWS LAWN ROAD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GU24DE  GUILDFORD  ROYAUME-UNI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mandate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en pierre comprenant une maison d'habitation et dépendances sis La Gourgue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cadastré section F 1003 A 1005 1025 1431 968 A 976 pour une contenance cadastralede 10ha74a42ca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20 800 €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3 MAI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FRANCOISE BROOKER</w:t>
      </w:r>
    </w:p>
    <w:p>
      <w:pPr>
        <w:pStyle w:val="[Normal]"/>
        <w:rPr>
          <w:b w:val="on"/>
          <w:sz w:val="20"/>
        </w:rPr>
      </w:pPr>
      <w:r>
        <w:rPr>
          <w:b w:val="on"/>
          <w:sz w:val="20"/>
        </w:rPr>
        <w:t xml:space="preserve">THE WILLOWS LAWN ROAD  GU24DE GUILDFORD ROYAUME-UNI</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 TTC soit 20 800 €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 MAI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