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:20 avril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0565368859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KAVANAGH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BARBARA ET MARTIN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00447870910767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Le Carriol 125 route du champs de Mongi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46310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CONCORES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martin.kavanagh@orange.fr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toiture 2019 Viers 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GD2025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165m²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1 270m²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24m²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Le Carriol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46310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CONCORES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17/04/2024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CLES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PROPRIETAIRES DEPUIS OCTOBRE 2004 - OFFICE MT ST JEAN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</w:rPr>
        <w:t xml:space="preserve">La Maison. RDC.</w:t>
      </w:r>
      <w:r>
        <w:rPr>
          <w:rFonts w:ascii="Times New Roman" w:hAnsi="Times New Roman" w:eastAsia="Times New Roman"/>
          <w:sz w:val="32"/>
        </w:rPr>
        <w:t xml:space="preserve"> Belle entrée avec escalier accédant à l'étage, salon/chambre, salle à manger, cuisine avec espace repas, cellier, wc et dégagement + 1.8 m² (chauffe-eau). </w:t>
      </w:r>
      <w:r>
        <w:rPr>
          <w:rFonts w:ascii="Times New Roman" w:hAnsi="Times New Roman" w:eastAsia="Times New Roman"/>
          <w:b w:val="on"/>
          <w:sz w:val="32"/>
        </w:rPr>
        <w:t xml:space="preserve">Etage. </w:t>
      </w:r>
      <w:r>
        <w:rPr>
          <w:rFonts w:ascii="Times New Roman" w:hAnsi="Times New Roman" w:eastAsia="Times New Roman"/>
          <w:sz w:val="32"/>
        </w:rPr>
        <w:t xml:space="preserve">Espace bureau avec dégagement, salon,  2 chambres avec salle d'eau, dégagement, salle d'eau wc, salle de bains wc, grenier. 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</w:rPr>
        <w:t xml:space="preserve">Double vitrage. Chauffage au fuel. Fosse septique. 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  <w:sz w:val="32"/>
        </w:rPr>
        <w:t xml:space="preserve">Dépendance.</w:t>
      </w:r>
      <w:r>
        <w:rPr>
          <w:rFonts w:ascii="Times New Roman" w:hAnsi="Times New Roman" w:eastAsia="Times New Roman"/>
          <w:sz w:val="32"/>
        </w:rPr>
        <w:t xml:space="preserve"> Grange attenante avec chaufferie et buanderie avec point d'eau  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