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243 800 €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GD0242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Maison contemporaine de 1987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16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 8 m² équipée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pour deux voitures, deux entrées,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et distribution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43 m² avec cheminée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36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Veranda 32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indépendant 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73 m² de type 3, deux chambres, séjour-cuisine-salle de bains-wc indépendant.  Accés indépendant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11 et 17 m² avec chacune un placard mural.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indépendant</w:t>
            </w:r>
          </w:p>
          <w:p>
            <w:pPr>
              <w:pStyle w:val="Type de détail"/>
            </w:pPr>
            <w:r>
              <w:t xml:space="preserve">4ème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Terrasse 46 m² avec vue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155,00 KWHep/m²an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25,00 Kgco2/m²an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Type de détail"/>
            </w:pPr>
            <w:r>
              <w:t xml:space="preserve">Pièces diverses: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6 m²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 environ 2200 m², ornement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94175" cy="27990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175" cy="279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Dans un bourg de la Bouriane avec commerces, construction de qualité pour cette grande Contemporaine qui s'agence aujourd'hui sur 250 m² en 2 parties distinctes dont un appartement de 73 m² de type T3 avec accès indépendant. Un jardin de 2200 m² arborés et clos valorise la propriété. Terrasse de 46 m² avec vue. Grand garage bénéficiant de 2 entrées.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Terrasse de 36 m². Hall d'entrée et distribution de 10 m², séjour de 43 m² avec cheminée, cuisine de 8 m² équipée, arrière-cuisine de 16 m², véranda de 32 m², chambre de 12 m², WC indépendant, salle d'eau. Cave. Garage de 33 m²  pour deux voitures bénéficiant de deux entrées. Chaufferie.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1er Etage. Terrasse de 46 m² avec vue. Palier desservant 2 chambres de 11 et 17 m² avec chacune un placard mural, salle de bains de 7 m², WC indépendant. Appartement de 73 m² de type 3 déclinant 2 chambres, séjour, cuisine, salle de bains et WC,  doté d'un accés indépendant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fuel. Tout-à-l'égout.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27045" cy="201993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27045" cy="201993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250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2 200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10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5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2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Est Ouest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1987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