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12"/>
        <w:gridCol w:w="9787"/>
      </w:tblGrid>
      <w:tr>
        <w:tc>
          <w:tcPr>
            <w:tcW w:w="5812" w:type="dxa"/>
            <w:shd w:val="clear" w:fill="auto"/>
            <w:vAlign w:val="top"/>
          </w:tcPr>
          <w:p>
            <w:pPr>
              <w:pStyle w:val="[Normal]"/>
              <w:jc w:val="center"/>
            </w:pPr>
            <w:r>
              <w:drawing>
                <wp:inline distT="0" distB="0" distL="0" distR="0">
                  <wp:extent cx="2743200" cy="9144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743200" cy="914400"/>
                          </a:xfrm>
                          <a:prstGeom prst="rect">
                            <a:avLst/>
                          </a:prstGeom>
                        </pic:spPr>
                      </pic:pic>
                    </a:graphicData>
                  </a:graphic>
                </wp:inline>
              </w:drawing>
            </w:r>
          </w:p>
        </w:tc>
        <w:tc>
          <w:tcPr>
            <w:tcW w:w="9787" w:type="dxa"/>
            <w:shd w:val="clear" w:fill="auto"/>
            <w:vAlign w:val="top"/>
          </w:tcPr>
          <w:p>
            <w:pPr>
              <w:pStyle w:val="[Normal]"/>
              <w:jc w:val="center"/>
              <w:rPr>
                <w:b w:val="on"/>
                <w:color w:val="0000FF"/>
                <w:sz w:val="26"/>
              </w:rPr>
            </w:pPr>
          </w:p>
          <w:p>
            <w:pPr>
              <w:pStyle w:val="[Normal]"/>
              <w:jc w:val="center"/>
            </w:pPr>
            <w:r>
              <w:rPr>
                <w:b w:val="on"/>
                <w:color w:val="0000FF"/>
                <w:sz w:val="36"/>
              </w:rPr>
              <w:t xml:space="preserve">Réf.: GD2021    -    Prix: 592 800 € FAI dont 4% HA</w:t>
              <w:br w:type="textWrapping"/>
            </w:r>
            <w:r>
              <w:rPr>
                <w:b w:val="on"/>
                <w:color w:val="0000FF"/>
                <w:sz w:val="36"/>
              </w:rPr>
              <w:t xml:space="preserve">                                                 </w:t>
            </w:r>
            <w:r>
              <w:rPr>
                <w:b w:val="on"/>
                <w:color w:val="0000FF"/>
              </w:rPr>
              <w:t xml:space="preserve">570 000€ honoraires exclus</w:t>
            </w:r>
          </w:p>
        </w:tc>
      </w:tr>
    </w:tbl>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553"/>
      </w:tblGrid>
      <w:tr>
        <w:tc>
          <w:tcPr>
            <w:tcW w:w="15553"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08"/>
              <w:gridCol w:w="9673"/>
            </w:tblGrid>
            <w:tr>
              <w:tc>
                <w:tcPr>
                  <w:tcW w:w="5808" w:type="dxa"/>
                  <w:shd w:val="clear" w:fill="FFFFD2"/>
                  <w:vAlign w:val="top"/>
                </w:tcPr>
                <w:p>
                  <w:pPr>
                    <w:pStyle w:val="[Normal]"/>
                    <w:jc w:val="center"/>
                  </w:pPr>
                  <w:r>
                    <w:rPr>
                      <w:b w:val="on"/>
                      <w:color w:val="FF0000"/>
                      <w:sz w:val="36"/>
                    </w:rPr>
                    <w:t xml:space="preserve">EXCLUSIVITE Secteur Gourdon- Magnifique propriété de caractère sur 7ha2 avec vue imprenable et piscine</w:t>
                  </w:r>
                </w:p>
                <w:p>
                  <w:pPr>
                    <w:pStyle w:val="[Normal]"/>
                    <w:jc w:val="cente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6"/>
                    <w:gridCol w:w="3060"/>
                  </w:tblGrid>
                  <w:tr>
                    <w:tc>
                      <w:tcPr>
                        <w:tcW w:w="2676" w:type="dxa"/>
                        <w:shd w:val="clear" w:fill="auto"/>
                        <w:vAlign w:val="top"/>
                      </w:tcPr>
                      <w:p>
                        <w:pPr>
                          <w:pStyle w:val="[Normal]"/>
                        </w:pPr>
                      </w:p>
                      <w:p>
                        <w:pPr>
                          <w:pStyle w:val="[Normal]"/>
                          <w:jc w:val="center"/>
                          <w:rPr>
                            <w:sz w:val="18"/>
                            <w:u w:val="single"/>
                          </w:rPr>
                        </w:pPr>
                        <w:r>
                          <w:drawing>
                            <wp:inline distT="0" distB="0" distL="0" distR="0">
                              <wp:extent cx="1569720" cy="13792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69720" cy="1379220"/>
                                      </a:xfrm>
                                      <a:prstGeom prst="rect">
                                        <a:avLst/>
                                      </a:prstGeom>
                                    </pic:spPr>
                                  </pic:pic>
                                </a:graphicData>
                              </a:graphic>
                            </wp:inline>
                          </w:drawing>
                        </w:r>
                      </w:p>
                      <w:p>
                        <w:pPr>
                          <w:pStyle w:val="[Normal]"/>
                          <w:rPr>
                            <w:sz w:val="18"/>
                            <w:u w:val="single"/>
                          </w:rPr>
                        </w:pPr>
                      </w:p>
                      <w:p>
                        <w:pPr>
                          <w:pStyle w:val="[Normal]"/>
                        </w:pPr>
                        <w:r>
                          <w:rPr>
                            <w:b w:val="on"/>
                            <w:u w:val="single"/>
                          </w:rPr>
                          <w:t xml:space="preserve">Consommation</w:t>
                        </w:r>
                        <w:r>
                          <w:rPr>
                            <w:b w:val="on"/>
                          </w:rPr>
                          <w:t xml:space="preserve">: 211 KWHep/m² an</w:t>
                        </w:r>
                      </w:p>
                      <w:p>
                        <w:pPr>
                          <w:pStyle w:val="[Normal]"/>
                        </w:pPr>
                        <w:r>
                          <w:t xml:space="preserve">«méthode_calcul_dpe_energie»</w:t>
                        </w:r>
                      </w:p>
                    </w:tc>
                    <w:tc>
                      <w:tcPr>
                        <w:tcW w:w="3060" w:type="dxa"/>
                        <w:shd w:val="clear" w:fill="auto"/>
                        <w:vAlign w:val="top"/>
                      </w:tcPr>
                      <w:p>
                        <w:pPr>
                          <w:pStyle w:val="[Normal]"/>
                        </w:pPr>
                      </w:p>
                      <w:p>
                        <w:pPr>
                          <w:pStyle w:val="[Normal]"/>
                          <w:jc w:val="center"/>
                          <w:rPr>
                            <w:sz w:val="18"/>
                            <w:u w:val="single"/>
                          </w:rPr>
                        </w:pPr>
                        <w:r>
                          <w:drawing>
                            <wp:inline distT="0" distB="0" distL="0" distR="0">
                              <wp:extent cx="1569720" cy="14097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569720" cy="1409700"/>
                                      </a:xfrm>
                                      <a:prstGeom prst="rect">
                                        <a:avLst/>
                                      </a:prstGeom>
                                    </pic:spPr>
                                  </pic:pic>
                                </a:graphicData>
                              </a:graphic>
                            </wp:inline>
                          </w:drawing>
                        </w:r>
                      </w:p>
                      <w:p>
                        <w:pPr>
                          <w:pStyle w:val="[Normal]"/>
                          <w:rPr>
                            <w:sz w:val="18"/>
                            <w:u w:val="single"/>
                          </w:rPr>
                        </w:pPr>
                      </w:p>
                      <w:p>
                        <w:pPr>
                          <w:pStyle w:val="[Normal]"/>
                        </w:pPr>
                        <w:r>
                          <w:rPr>
                            <w:b w:val="on"/>
                            <w:u w:val="single"/>
                          </w:rPr>
                          <w:t xml:space="preserve">Emission:</w:t>
                        </w:r>
                        <w:r>
                          <w:rPr>
                            <w:b w:val="on"/>
                          </w:rPr>
                          <w:t xml:space="preserve"> 6 Kg CO2/m² an </w:t>
                        </w:r>
                      </w:p>
                      <w:p>
                        <w:pPr>
                          <w:pStyle w:val="[Normal]"/>
                        </w:pPr>
                      </w:p>
                    </w:tc>
                  </w:tr>
                </w:tbl>
                <w:p>
                  <w:pPr>
                    <w:pStyle w:val="[Normal]"/>
                  </w:pPr>
                </w:p>
              </w:tc>
              <w:tc>
                <w:tcPr>
                  <w:tcW w:w="9673" w:type="dxa"/>
                  <w:shd w:val="clear" w:fill="FFFFD2"/>
                  <w:vAlign w:val="top"/>
                </w:tcPr>
                <w:p>
                  <w:pPr>
                    <w:pStyle w:val="[Normal]"/>
                    <w:jc w:val="center"/>
                  </w:pPr>
                  <w:r>
                    <w:drawing>
                      <wp:inline distT="0" distB="0" distL="0" distR="0">
                        <wp:extent cx="5760720" cy="43205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5760720" cy="4320540"/>
                                </a:xfrm>
                                <a:prstGeom prst="rect">
                                  <a:avLst/>
                                </a:prstGeom>
                              </pic:spPr>
                            </pic:pic>
                          </a:graphicData>
                        </a:graphic>
                      </wp:inline>
                    </w:drawing>
                  </w:r>
                </w:p>
              </w:tc>
            </w:tr>
          </w:tbl>
          <w:p>
            <w:pPr>
              <w:pStyle w:val="[Normal]"/>
            </w:pPr>
          </w:p>
        </w:tc>
      </w:tr>
    </w:tbl>
    <w:p>
      <w:pPr>
        <w:pStyle w:val="[Normal]"/>
        <w:rPr>
          <w:b w:val="on"/>
          <w:color w:val="0000FF"/>
          <w:sz w:val="28"/>
        </w:rPr>
      </w:pPr>
      <w:r>
        <w:rPr>
          <w:b w:val="on"/>
          <w:color w:val="0000FF"/>
          <w:sz w:val="28"/>
        </w:rPr>
        <w:t xml:space="preserve">EXCLUSIVITE Secteur GOURDON - Avec vue imprenable, en situation calme et indépendante sur 7ha2 avec espace piscine, cette magnifique </w:t>
      </w:r>
      <w:r>
        <w:rPr>
          <w:b w:val="on"/>
          <w:color w:val="FF0000"/>
          <w:sz w:val="36"/>
        </w:rPr>
        <w:t xml:space="preserve">Propriété en pierre</w:t>
      </w:r>
      <w:r>
        <w:rPr>
          <w:b w:val="on"/>
          <w:color w:val="0000FF"/>
          <w:sz w:val="28"/>
        </w:rPr>
        <w:t xml:space="preserve"> comprend une belle Maison principale de charme et une dépendance - 280 m² habitables répartis en espaces aménagés avec confort, goût et qualité dans un lieu de vie privilégié où il fait bon vivre. Les informations sur les risques auquel ce bien est exposé sont disponibles sur le site Géorisques www.georisques.gouv.fr</w:t>
      </w:r>
    </w:p>
    <w:sectPr>
      <w:pgSz w:w="16837" w:h="11903" w:orient="landscape"/>
      <w:pgMar w:top="567" w:right="567" w:bottom="567" w:left="56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