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t xml:space="preserve"> TAXE FONCIERE 888 €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265 000 €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GD1992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GOURDON - Lumineuse Maison de centre ville avec jardin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Centre-Ville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Atelier de 31,24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40 m² avec cuve fuel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22,8 m² - chaudière Viessmann - rangement cave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12,5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Hall d'entrée 6,61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36,5 m² avec cheminée</w:t>
            </w:r>
          </w:p>
          <w:p>
            <w:pPr>
              <w:pStyle w:val="Type de détail"/>
            </w:pPr>
            <w:r>
              <w:t xml:space="preserve">Mi Etage: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17,43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2,21 m² et buanderie de 2,58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salle d'eau de 7,3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1,59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18,07 m² et 17,95 m² avec placards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15 m² en demi-niveau supérieur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Palier bureau de 15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2,25 m²</w:t>
            </w:r>
          </w:p>
          <w:p>
            <w:pPr>
              <w:pStyle w:val="Type de détail"/>
            </w:pPr>
            <w:r>
              <w:t xml:space="preserve">2ème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151,00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43,00 Kgco2/m²an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06/06/2023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 chaudière Viessmann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Fenêtres: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Ecole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1960" cy="318897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1960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GOURDON - Idéalement située à deux pas des commerces, bénéficiant d'un jardin clos avec terrasse, cette agréable et lumineuse Maison de ville s'agence sur 144 m² habitables dont 3 chambres et grand séjour - surfaces annexes en complément et atelier indépendant.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Chaufferie de 22,8 m² - chaudière Viessmann - rangement cave, cave de 40 m² avec cuve fuel, atelier de de 31,24 m² attenant. RDC. Entrée de 6,61 m², séjour de 36,5 m² avec cheminée, cuisine de 12,5 m². 1/2 niveau supérieur - Palier de 2,21 m² , buanderie de 2,58 m², chambre de 17,43 m² avec placards, salle d'eau de 7,3 m², wc de 1,59 m². Etage 1. Palier bureau de 15 m², 2 chambres de 18,07 m² et 17,95 m² avec placards, salle d'eau de 5 m², wc de 2,25 m², grenier en 1/2 niveau sup. de 15 m². Etage 2. Grenier.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au fuel (chaudière Viessmann). Double vitrage. Tout-à-l'égout.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13405" cy="226314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3405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117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17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144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330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