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:17 février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BLACKWELL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BEVERLY ANN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0012566795422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bevannblackwell@gmail.com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GD2011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150m²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1 482m²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1780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30m²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"Tauty"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 VIGAN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04/12/2023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 agence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Maitre Serres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0668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32"/>
        </w:rPr>
        <w:t xml:space="preserve"> RDC.</w:t>
      </w:r>
      <w:r>
        <w:rPr>
          <w:rFonts w:ascii="Times New Roman" w:hAnsi="Times New Roman" w:eastAsia="Times New Roman"/>
          <w:sz w:val="32"/>
        </w:rPr>
        <w:t xml:space="preserve"> Entrée sur salle à manger avec espace cuisine ouverte, séjour, chambre avec salle d'eau privative, wc ; appartement indépendant comprenant partie cuisine en partie équippée, chambre, salle de bains avec wc. 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Palier, 2 chambres  (avec wc et lavabo).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Les Dépendances.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Ancienne petite porcherie en pierre.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Grangette en pierre. Atelier à rénover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2"/>
        </w:rPr>
        <w:t xml:space="preserve">Chauffage bois (poêle granulés partie 1 de la maison). Double vitrage. Tout-à-l'égout.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