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GD2000    -    Prix: 395 2000 € FAI dont 4%HA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</w:t>
            </w:r>
            <w:r>
              <w:rPr>
                <w:b w:val="on"/>
                <w:color w:val="0000FF"/>
              </w:rPr>
              <w:t xml:space="preserve">380 000€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CAHORS - Maison atypique sur 1ha avec vue panoramique et piscine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130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37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60720" cy="4320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32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</w:pP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CAHORS - Sur plus d'1ha en partie boisé avec piscine, cette </w:t>
      </w:r>
      <w:r>
        <w:rPr>
          <w:b w:val="on"/>
          <w:color w:val="FF0000"/>
          <w:sz w:val="32"/>
        </w:rPr>
        <w:t xml:space="preserve">Maison d'architecte atypique</w:t>
      </w:r>
      <w:r>
        <w:rPr>
          <w:b w:val="on"/>
          <w:color w:val="0000FF"/>
          <w:sz w:val="28"/>
        </w:rPr>
        <w:t xml:space="preserve"> - construction ronde édifiée sur 3 niveaux -  bénéficie d'une situation privilégiée et indépendante avec vue imprenable panoramique sur la vallée. Les informations sur les risques auxquels ce bien est exposé sont disponibles sur le site Géorisques: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