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GD1999    -    Prix: 420 000 € FAI dont 5%HA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400 000€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 - Maison de charme sur 1ha au calme avec piscine et vue panoramique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165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</w:rPr>
      </w:pPr>
      <w:r>
        <w:rPr>
          <w:b w:val="on"/>
          <w:color w:val="0000FF"/>
        </w:rPr>
        <w:t xml:space="preserve">EXCLUSIVITE - Secteur GOURDON - En situation indépendante et calme sur 1ha arboré avec piscine, cette </w:t>
      </w:r>
      <w:r>
        <w:rPr>
          <w:b w:val="on"/>
          <w:color w:val="FF0000"/>
          <w:sz w:val="32"/>
        </w:rPr>
        <w:t xml:space="preserve">Maison de charme</w:t>
      </w:r>
      <w:r>
        <w:rPr>
          <w:b w:val="on"/>
          <w:color w:val="0000FF"/>
        </w:rPr>
        <w:t xml:space="preserve"> jouit d'une magnifique vue panoramique.  Vous serez conquis par ce lieu de vie privilégié - 166 m² habitables fonctionnels et lumineux aménagés avec goût dont spacieux séjour et 4 chambres + bureau.  3 terrasses, grand sous-sol. Carport indépendant et parking. Proche d'un village tous commerces. 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