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2052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Monsieur  DUCOS Jean 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7, rond point des Esteys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33740  ARES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 </w:t>
      </w:r>
      <w:r>
        <w:rPr>
          <w:rFonts w:ascii="Times New Roman" w:hAnsi="Times New Roman" w:eastAsia="Times New Roman"/>
          <w:b w:val="on"/>
          <w:sz w:val="24"/>
        </w:rPr>
        <w:t xml:space="preserve">46310</w:t>
      </w:r>
      <w:r>
        <w:rPr>
          <w:rFonts w:ascii="Times New Roman" w:hAnsi="Times New Roman" w:eastAsia="Times New Roman"/>
          <w:sz w:val="24"/>
        </w:rPr>
        <w:t xml:space="preserve"> </w:t>
      </w:r>
      <w:r>
        <w:rPr>
          <w:rFonts w:ascii="Times New Roman" w:hAnsi="Times New Roman" w:eastAsia="Times New Roman"/>
          <w:b w:val="on"/>
          <w:sz w:val="24"/>
        </w:rPr>
        <w:t xml:space="preserve">SAINT-CHAMARAND, lieu-dit "Pech Meja", maison d'habitation mitoyenne en pierre de type 4 pièces  élevée sur caves en rez-de-chaussée avec jardin attenant. Cet ensemble figurant au cadastre de cette commune: section C, N° 938 &amp; 1361, pour une contenance globale de 06a 26ca.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€ 85 000 €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6 800 €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16/10/2023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both"/>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b w:val="on"/>
        </w:rPr>
      </w:pPr>
      <w:r>
        <w:rPr>
          <w:rFonts w:ascii="Times New Roman" w:hAnsi="Times New Roman" w:eastAsia="Times New Roman"/>
          <w:b w:val="on"/>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Jean Claude DECOS</w:t>
      </w:r>
    </w:p>
    <w:p>
      <w:pPr>
        <w:pStyle w:val="[Normal]"/>
        <w:widowControl w:val="on"/>
        <w:rPr>
          <w:b w:val="on"/>
          <w:sz w:val="20"/>
        </w:rPr>
      </w:pPr>
      <w:r>
        <w:rPr>
          <w:b w:val="on"/>
          <w:sz w:val="20"/>
        </w:rPr>
        <w:t xml:space="preserve">7, rond point des Esteys 33740 ARES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7,41% TTC soit 6 800 €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16/10/2023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