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2 048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Monsieur et Madame  YORKE CAROL ET PETER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1031 ROUTE DES GRANDS BOIS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24250  SAINT-MARTIAL-DE-NABIRAT  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de plain-pied, dépendance à usage d'atelier sises 1031 ROUTE DES GRANDS BOIS   24250</w:t>
      </w:r>
      <w:r>
        <w:rPr>
          <w:rFonts w:ascii="Times New Roman" w:hAnsi="Times New Roman" w:eastAsia="Times New Roman"/>
          <w:sz w:val="22"/>
        </w:rPr>
        <w:t xml:space="preserve"> </w:t>
      </w:r>
      <w:r>
        <w:rPr>
          <w:rFonts w:ascii="Times New Roman" w:hAnsi="Times New Roman" w:eastAsia="Times New Roman"/>
          <w:b w:val="on"/>
          <w:sz w:val="28"/>
        </w:rPr>
        <w:t xml:space="preserve">SAINT-MARTIAL-DE-NABIRAT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TROIS CENT TRENTE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€ 330 000 €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16 500 €    € TTC soit 5% par mesurec omemrciale exceptionnelle</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19 SEPTEMBRE 2023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CAROL ET PETER YORKE</w:t>
      </w:r>
    </w:p>
    <w:p>
      <w:pPr>
        <w:pStyle w:val="[Normal]"/>
        <w:rPr>
          <w:b w:val="on"/>
          <w:sz w:val="20"/>
        </w:rPr>
      </w:pPr>
      <w:r>
        <w:rPr>
          <w:b w:val="on"/>
          <w:sz w:val="20"/>
        </w:rPr>
        <w:t xml:space="preserve">1031 ROUTE DES GRANDS BOIS 24250 SAINT-MARTIAL-DE-NABIRAT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5% TTC soit 16 500 €  PAR MESURE COMMERCIALE EXCEPTIONNELLE</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19 SEPTEMBRE 2023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