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2 040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Sliepenbeek R.J.B.M.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Molenweg 17A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1251   LR LAREN   PAYS-BAS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Ensemble immobilier en pierre de 3 maisons sur 7120 m² avec piscine chauffée sis Plavard   24250</w:t>
      </w:r>
      <w:r>
        <w:rPr>
          <w:rFonts w:ascii="Times New Roman" w:hAnsi="Times New Roman" w:eastAsia="Times New Roman"/>
          <w:sz w:val="22"/>
        </w:rPr>
        <w:t xml:space="preserve"> </w:t>
      </w:r>
      <w:r>
        <w:rPr>
          <w:rFonts w:ascii="Times New Roman" w:hAnsi="Times New Roman" w:eastAsia="Times New Roman"/>
          <w:b w:val="on"/>
          <w:sz w:val="28"/>
        </w:rPr>
        <w:t xml:space="preserve">BOUZIC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cadastrée section AB N° 429 176 457 162 A 165  175 500 502 504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CINQ CENT SOIXANTE-DOUZE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€ 572 000 €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23 000 €    € TTC soit 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29 JUILLET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R.J.B.M. Sliepenbeek</w:t>
      </w:r>
    </w:p>
    <w:p>
      <w:pPr>
        <w:pStyle w:val="[Normal]"/>
        <w:rPr>
          <w:b w:val="on"/>
          <w:sz w:val="20"/>
        </w:rPr>
      </w:pPr>
      <w:r>
        <w:rPr>
          <w:b w:val="on"/>
          <w:sz w:val="20"/>
        </w:rPr>
        <w:t xml:space="preserve">Molenweg 17A  1251  LR LAREN  PAYS-BAS</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4% TTC soit 23 000 €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29 JUILLET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