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:23 juin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0677843571 mr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BAUDOUIN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MARTINE et ANDRE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0627516768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LA BRUGUE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ROUFFILHAC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martine Baudouin &lt;martine.baudouin90@orange.fr&gt;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GD1976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400m²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28 900m²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49m²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70m²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 Brugue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ROUFFILHAC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17/06/2023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763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Maison</w:t>
      </w:r>
      <w:r>
        <w:rPr>
          <w:rFonts w:ascii="Times New Roman" w:hAnsi="Times New Roman" w:eastAsia="Times New Roman"/>
          <w:b w:val="on"/>
          <w:sz w:val="28"/>
        </w:rPr>
        <w:t xml:space="preserve">. RDC.</w:t>
      </w:r>
      <w:r>
        <w:rPr>
          <w:rFonts w:ascii="Times New Roman" w:hAnsi="Times New Roman" w:eastAsia="Times New Roman"/>
          <w:sz w:val="28"/>
        </w:rPr>
        <w:t xml:space="preserve"> Hall d'entrée desservant maison principale et maison d'amis, séjour avec cheminée, vestiaire, wc. Atelier, chaufferie, buanderie, bureau, espace de rangement. </w:t>
      </w:r>
      <w:r>
        <w:rPr>
          <w:rFonts w:ascii="Times New Roman" w:hAnsi="Times New Roman" w:eastAsia="Times New Roman"/>
          <w:b w:val="on"/>
          <w:sz w:val="28"/>
        </w:rPr>
        <w:t xml:space="preserve">Etage 1.</w:t>
      </w:r>
      <w:r>
        <w:rPr>
          <w:rFonts w:ascii="Times New Roman" w:hAnsi="Times New Roman" w:eastAsia="Times New Roman"/>
          <w:sz w:val="28"/>
        </w:rPr>
        <w:t xml:space="preserve"> Palier, salon, cuisine acec petit espace repas, dégagement, chambre en-suite avec salle d'eau, wc avec  lave-mains. Terrasse couverte avec vue. </w:t>
      </w:r>
      <w:r>
        <w:rPr>
          <w:rFonts w:ascii="Times New Roman" w:hAnsi="Times New Roman" w:eastAsia="Times New Roman"/>
          <w:b w:val="on"/>
          <w:sz w:val="28"/>
        </w:rPr>
        <w:t xml:space="preserve">Etage 2. </w:t>
      </w:r>
      <w:r>
        <w:rPr>
          <w:rFonts w:ascii="Times New Roman" w:hAnsi="Times New Roman" w:eastAsia="Times New Roman"/>
          <w:sz w:val="28"/>
        </w:rPr>
        <w:t xml:space="preserve">Couloir, 3 chambres en suite avec salle d'eau wc.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Chauffage centrale granulés bois et bois (cheminée en rdc). Double vitrage.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Maison d'amis attenante</w:t>
      </w:r>
      <w:r>
        <w:rPr>
          <w:rFonts w:ascii="Times New Roman" w:hAnsi="Times New Roman" w:eastAsia="Times New Roman"/>
          <w:sz w:val="28"/>
          <w:u w:val="single"/>
        </w:rPr>
        <w:t xml:space="preserve">. </w:t>
      </w:r>
      <w:r>
        <w:rPr>
          <w:rFonts w:ascii="Times New Roman" w:hAnsi="Times New Roman" w:eastAsia="Times New Roman"/>
          <w:b w:val="on"/>
          <w:sz w:val="28"/>
        </w:rPr>
        <w:t xml:space="preserve">RDC. </w:t>
      </w:r>
      <w:r>
        <w:rPr>
          <w:rFonts w:ascii="Times New Roman" w:hAnsi="Times New Roman" w:eastAsia="Times New Roman"/>
          <w:sz w:val="28"/>
        </w:rPr>
        <w:t xml:space="preserve">Palier, chambre avec salle d'eau w², pièce technique dans hall d'entrée. </w:t>
      </w:r>
      <w:r>
        <w:rPr>
          <w:rFonts w:ascii="Times New Roman" w:hAnsi="Times New Roman" w:eastAsia="Times New Roman"/>
          <w:b w:val="on"/>
          <w:sz w:val="28"/>
        </w:rPr>
        <w:t xml:space="preserve">Etage</w:t>
      </w:r>
      <w:r>
        <w:rPr>
          <w:rFonts w:ascii="Times New Roman" w:hAnsi="Times New Roman" w:eastAsia="Times New Roman"/>
          <w:sz w:val="28"/>
        </w:rPr>
        <w:t xml:space="preserve">. Séjour cuisine, balcon  avec vue.   Double vitrage. Chauffage électrique. Fosse septique.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Les dépendances. </w:t>
      </w:r>
      <w:r>
        <w:rPr>
          <w:rFonts w:ascii="Times New Roman" w:hAnsi="Times New Roman" w:eastAsia="Times New Roman"/>
          <w:sz w:val="28"/>
        </w:rPr>
        <w:t xml:space="preserve">Séchoir ouvert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Hangar parpaings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Four à pains et partie grangette</w:t>
      </w:r>
    </w:p>
    <w:p>
      <w:pPr>
        <w:pStyle w:val="[Normal]"/>
        <w:jc w:val="both"/>
        <w:rPr>
          <w:rFonts w:ascii="Times New Roman" w:hAnsi="Times New Roman" w:eastAsia="Times New Roman"/>
          <w:sz w:val="28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  <w:t xml:space="preserve">Piscine au sel. Terrasse couverte.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  <w:t xml:space="preserve">Potager (arrosage automatique). Récupérateurs eaux de pluie.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u w:val="single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